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32" w:type="pct"/>
        <w:tblLayout w:type="fixed"/>
        <w:tblLook w:val="04A0" w:firstRow="1" w:lastRow="0" w:firstColumn="1" w:lastColumn="0" w:noHBand="0" w:noVBand="1"/>
      </w:tblPr>
      <w:tblGrid>
        <w:gridCol w:w="575"/>
        <w:gridCol w:w="1163"/>
        <w:gridCol w:w="736"/>
        <w:gridCol w:w="2467"/>
        <w:gridCol w:w="3158"/>
        <w:gridCol w:w="4706"/>
        <w:gridCol w:w="1242"/>
      </w:tblGrid>
      <w:tr w:rsidR="005F6ACC" w14:paraId="5E90C936" w14:textId="77777777" w:rsidTr="00D54786">
        <w:trPr>
          <w:trHeight w:val="640"/>
        </w:trPr>
        <w:tc>
          <w:tcPr>
            <w:tcW w:w="5000" w:type="pct"/>
            <w:gridSpan w:val="7"/>
            <w:tcBorders>
              <w:top w:val="nil"/>
              <w:left w:val="nil"/>
              <w:bottom w:val="nil"/>
              <w:right w:val="nil"/>
            </w:tcBorders>
            <w:shd w:val="clear" w:color="auto" w:fill="auto"/>
            <w:noWrap/>
            <w:vAlign w:val="center"/>
          </w:tcPr>
          <w:p w14:paraId="4444A749" w14:textId="77777777" w:rsidR="005F6ACC" w:rsidRDefault="005F6ACC" w:rsidP="00D54786">
            <w:pPr>
              <w:widowControl/>
              <w:textAlignment w:val="center"/>
              <w:rPr>
                <w:rFonts w:ascii="宋体" w:hAnsi="宋体" w:cs="宋体" w:hint="eastAsia"/>
                <w:b/>
                <w:bCs/>
                <w:color w:val="000000"/>
                <w:kern w:val="0"/>
                <w:sz w:val="28"/>
                <w:szCs w:val="28"/>
                <w:lang w:bidi="ar"/>
              </w:rPr>
            </w:pPr>
            <w:r>
              <w:rPr>
                <w:rFonts w:ascii="宋体" w:hAnsi="宋体" w:cs="宋体" w:hint="eastAsia"/>
                <w:b/>
                <w:bCs/>
                <w:color w:val="000000"/>
                <w:kern w:val="0"/>
                <w:sz w:val="28"/>
                <w:szCs w:val="28"/>
                <w:lang w:bidi="ar"/>
              </w:rPr>
              <w:t xml:space="preserve">附件2：               </w:t>
            </w:r>
          </w:p>
          <w:p w14:paraId="18D2804D" w14:textId="77777777" w:rsidR="005F6ACC" w:rsidRDefault="005F6ACC" w:rsidP="00D54786">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44"/>
                <w:szCs w:val="44"/>
                <w:lang w:bidi="ar"/>
              </w:rPr>
              <w:t>2025年吴忠市交通运输局“双随机”抽查工作计划</w:t>
            </w:r>
          </w:p>
        </w:tc>
      </w:tr>
      <w:tr w:rsidR="005F6ACC" w14:paraId="52AB65D2" w14:textId="77777777" w:rsidTr="00D54786">
        <w:trPr>
          <w:trHeight w:val="48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40224" w14:textId="77777777" w:rsidR="005F6ACC" w:rsidRDefault="005F6ACC" w:rsidP="00D5478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序号</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32401" w14:textId="77777777" w:rsidR="005F6ACC" w:rsidRDefault="005F6ACC" w:rsidP="00D5478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事项名称</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8F6D4" w14:textId="77777777" w:rsidR="005F6ACC" w:rsidRDefault="005F6ACC" w:rsidP="00D5478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检查类型</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21342" w14:textId="77777777" w:rsidR="005F6ACC" w:rsidRDefault="005F6ACC" w:rsidP="00D5478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检查对象/形式</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9A88F" w14:textId="77777777" w:rsidR="005F6ACC" w:rsidRDefault="005F6ACC" w:rsidP="00D5478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检查频次/比例/时间</w:t>
            </w:r>
          </w:p>
        </w:tc>
        <w:tc>
          <w:tcPr>
            <w:tcW w:w="1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47122" w14:textId="77777777" w:rsidR="005F6ACC" w:rsidRDefault="005F6ACC" w:rsidP="00D5478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检查内容</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4F082" w14:textId="77777777" w:rsidR="005F6ACC" w:rsidRDefault="005F6ACC" w:rsidP="00D5478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执法科室</w:t>
            </w:r>
          </w:p>
        </w:tc>
      </w:tr>
      <w:tr w:rsidR="005F6ACC" w14:paraId="32BA25D6" w14:textId="77777777" w:rsidTr="00D54786">
        <w:trPr>
          <w:trHeight w:val="108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E04C8"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A234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道路危险货物运输企业检查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84498"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重点检查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C40F9"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道路危货运输企业/全覆盖检查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594C8"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利通区内每年检查4次，辅以专项检查；其他各县（市、区）落实属地责任，每年检查不少于1次，每次抽查比例不少于15%</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98E1B" w14:textId="7D8FA5A3"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D664B"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货物运输科</w:t>
            </w:r>
          </w:p>
        </w:tc>
      </w:tr>
      <w:tr w:rsidR="005F6ACC" w14:paraId="65820A11" w14:textId="77777777" w:rsidTr="00D54786">
        <w:trPr>
          <w:trHeight w:val="114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A4D5F"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70C0D"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道路普通货物运输企业检查</w:t>
            </w:r>
            <w:r>
              <w:rPr>
                <w:rFonts w:ascii="宋体" w:hAnsi="宋体" w:cs="宋体" w:hint="eastAsia"/>
                <w:color w:val="000000"/>
                <w:kern w:val="0"/>
                <w:sz w:val="20"/>
                <w:szCs w:val="20"/>
                <w:lang w:bidi="ar"/>
              </w:rPr>
              <w:br/>
              <w:t>（20辆车以上）</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6470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0D97F"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道路普通货物运输企业/日常检查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4CF41" w14:textId="72745DA5"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日常检查辅以专项检查（对20辆以上的道路普通货物运输企业每季度抽查1次，抽查比例不低于10%）</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FBCAA" w14:textId="0AD26996"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5AD9B"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货物运输科</w:t>
            </w:r>
          </w:p>
        </w:tc>
      </w:tr>
      <w:tr w:rsidR="005F6ACC" w14:paraId="2D217749" w14:textId="77777777" w:rsidTr="00D54786">
        <w:trPr>
          <w:trHeight w:val="100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92A8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27781"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道路普通货物运输企业检查</w:t>
            </w:r>
            <w:r>
              <w:rPr>
                <w:rFonts w:ascii="宋体" w:hAnsi="宋体" w:cs="宋体" w:hint="eastAsia"/>
                <w:color w:val="000000"/>
                <w:kern w:val="0"/>
                <w:sz w:val="20"/>
                <w:szCs w:val="20"/>
                <w:lang w:bidi="ar"/>
              </w:rPr>
              <w:br/>
              <w:t>（20辆车以下）</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F7B9D"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5F128"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道路普通货物运输企业/日常检查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14B12" w14:textId="008DCB0A"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日常检查辅以专项检查（对20辆以下的道路普通货物运输企业每年抽查2次，抽查比例不低于5%）</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9CC94" w14:textId="45294D46"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A17D8"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货物运输科</w:t>
            </w:r>
          </w:p>
        </w:tc>
      </w:tr>
      <w:tr w:rsidR="005F6ACC" w14:paraId="1C989BA1" w14:textId="77777777" w:rsidTr="00D54786">
        <w:trPr>
          <w:trHeight w:val="92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9FFBC"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4D5CB"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道路客运企业检查（含水运公司）</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AA862"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重点检查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A970F"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道路旅客运输企业/全覆盖检查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20406"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每年检查3次，辅以专项检查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13166" w14:textId="5C864F98"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0DA04"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客运海事科</w:t>
            </w:r>
          </w:p>
        </w:tc>
      </w:tr>
      <w:tr w:rsidR="005F6ACC" w14:paraId="7AC534AB" w14:textId="77777777" w:rsidTr="00D54786">
        <w:trPr>
          <w:trHeight w:val="98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7309A"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5</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057D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客运站经营者</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7A3E9"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重点检查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7E753"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客运汽车站/全覆盖检查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25882"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每年检查3次辅以专项检查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A48A6" w14:textId="08093BEE"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1BE7B"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客运海事科</w:t>
            </w:r>
          </w:p>
        </w:tc>
      </w:tr>
      <w:tr w:rsidR="005F6ACC" w14:paraId="1D2EB115" w14:textId="77777777" w:rsidTr="00D54786">
        <w:trPr>
          <w:trHeight w:val="98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288F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D6DE1"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巡游出租汽车公司检查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D3E35"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85FA1"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巡游出租汽车公司/日常检查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97E61"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每年检查3次，每次抽查不低于50%，并辅以专项检查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20F61" w14:textId="1A85548C"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4C24C"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客运海事科</w:t>
            </w:r>
          </w:p>
        </w:tc>
      </w:tr>
      <w:tr w:rsidR="005F6ACC" w14:paraId="3E9E48D3" w14:textId="77777777" w:rsidTr="00D54786">
        <w:trPr>
          <w:trHeight w:val="96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C3372"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E5476" w14:textId="77777777" w:rsidR="005F6ACC" w:rsidRDefault="005F6ACC" w:rsidP="00D54786">
            <w:pPr>
              <w:widowControl/>
              <w:jc w:val="center"/>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网约车平台</w:t>
            </w:r>
            <w:proofErr w:type="gramEnd"/>
            <w:r>
              <w:rPr>
                <w:rFonts w:ascii="宋体" w:hAnsi="宋体" w:cs="宋体" w:hint="eastAsia"/>
                <w:color w:val="000000"/>
                <w:kern w:val="0"/>
                <w:sz w:val="20"/>
                <w:szCs w:val="20"/>
                <w:lang w:bidi="ar"/>
              </w:rPr>
              <w:t>公司检查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B079C"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FD637" w14:textId="77777777" w:rsidR="005F6ACC" w:rsidRDefault="005F6ACC" w:rsidP="00D54786">
            <w:pPr>
              <w:widowControl/>
              <w:jc w:val="center"/>
              <w:textAlignment w:val="center"/>
              <w:rPr>
                <w:rFonts w:ascii="宋体" w:hAnsi="宋体" w:cs="宋体" w:hint="eastAsia"/>
                <w:color w:val="000000"/>
                <w:sz w:val="20"/>
                <w:szCs w:val="20"/>
              </w:rPr>
            </w:pPr>
            <w:proofErr w:type="gramStart"/>
            <w:r>
              <w:rPr>
                <w:rFonts w:ascii="宋体" w:hAnsi="宋体" w:cs="宋体" w:hint="eastAsia"/>
                <w:color w:val="000000"/>
                <w:kern w:val="0"/>
                <w:sz w:val="20"/>
                <w:szCs w:val="20"/>
                <w:lang w:bidi="ar"/>
              </w:rPr>
              <w:t>网约车平台</w:t>
            </w:r>
            <w:proofErr w:type="gramEnd"/>
            <w:r>
              <w:rPr>
                <w:rFonts w:ascii="宋体" w:hAnsi="宋体" w:cs="宋体" w:hint="eastAsia"/>
                <w:color w:val="000000"/>
                <w:kern w:val="0"/>
                <w:sz w:val="20"/>
                <w:szCs w:val="20"/>
                <w:lang w:bidi="ar"/>
              </w:rPr>
              <w:t>公司/日常检查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A076D"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每年检查3次，每次抽查不低于50%，并辅以专项检查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B956D" w14:textId="7BEEFDA3"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02C3F"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客运海事科</w:t>
            </w:r>
          </w:p>
        </w:tc>
      </w:tr>
      <w:tr w:rsidR="005F6ACC" w14:paraId="221551BE" w14:textId="77777777" w:rsidTr="00D54786">
        <w:trPr>
          <w:trHeight w:val="102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C9B9F"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AFBDA"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小型客车租赁公司检查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CB2EA"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870E2"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小型汽车租赁公司/日常检查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F5894"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每年检查3次，每次抽查不低于50%，并辅以专项检查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614BC" w14:textId="69444A9B"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64A83"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客运海事科</w:t>
            </w:r>
          </w:p>
        </w:tc>
      </w:tr>
      <w:tr w:rsidR="005F6ACC" w14:paraId="58F42E03" w14:textId="77777777" w:rsidTr="00D54786">
        <w:trPr>
          <w:trHeight w:val="108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DAACF"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E974D" w14:textId="5AB2E31F"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城市公共汽车公司（含城际公交公司）检查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1F1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重点检查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999F1"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城市公共企业客运公司/全覆盖检查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3766F"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每年检查3次，辅以专项检查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36FE5" w14:textId="14E9D2AF"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86980"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客运海事科</w:t>
            </w:r>
          </w:p>
        </w:tc>
      </w:tr>
      <w:tr w:rsidR="005F6ACC" w14:paraId="0D658424" w14:textId="77777777" w:rsidTr="00D54786">
        <w:trPr>
          <w:trHeight w:val="130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6131D"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1A32"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机动车维修企业检查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1E81F"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2E60C"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机动车维修企业/日常检查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02CB4" w14:textId="30F4A231"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日常检查辅以专项检查(一类机动车维修企业每年检查频次为3次，每次抽查比例为100%;二类机动车维修企业每年检查频次为3次，每次抽查比例不少于10%;三类机动车维修企业每年检查频次为3次，每次抽查比例不少于5%）。</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E721" w14:textId="1FE0FA2A"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2D300"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机动车</w:t>
            </w:r>
            <w:proofErr w:type="gramStart"/>
            <w:r>
              <w:rPr>
                <w:rFonts w:ascii="宋体" w:hAnsi="宋体" w:cs="宋体" w:hint="eastAsia"/>
                <w:color w:val="000000"/>
                <w:kern w:val="0"/>
                <w:sz w:val="20"/>
                <w:szCs w:val="20"/>
                <w:lang w:bidi="ar"/>
              </w:rPr>
              <w:t>维修科</w:t>
            </w:r>
            <w:proofErr w:type="gramEnd"/>
          </w:p>
        </w:tc>
      </w:tr>
      <w:tr w:rsidR="005F6ACC" w14:paraId="034CB2BF" w14:textId="77777777" w:rsidTr="00D54786">
        <w:trPr>
          <w:trHeight w:val="102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B041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11</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8A3E0"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机动车驾驶员培训企业检查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380B9"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E0376"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机动车驾驶员培训企业/日常检查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79FE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日常检查辅以专项检查（每年检查3次，</w:t>
            </w:r>
            <w:r>
              <w:rPr>
                <w:rFonts w:ascii="宋体" w:hAnsi="宋体" w:cs="宋体" w:hint="eastAsia"/>
                <w:color w:val="000000"/>
                <w:kern w:val="0"/>
                <w:sz w:val="20"/>
                <w:szCs w:val="20"/>
                <w:lang w:bidi="ar"/>
              </w:rPr>
              <w:br/>
              <w:t>每次抽查比例为100%）</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F5409" w14:textId="4819C680"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7D0AA"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驾驶员培训科</w:t>
            </w:r>
          </w:p>
        </w:tc>
      </w:tr>
      <w:tr w:rsidR="005F6ACC" w14:paraId="3CEF61A2" w14:textId="77777777" w:rsidTr="00D54786">
        <w:trPr>
          <w:trHeight w:val="112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20A93"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C844B"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公路路政执法巡查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0863"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AA151"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辖区内按管辖路段等级公路/按频次巡查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B9B15"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根据公路等级（每周1次巡查路段；每10天1次巡查路段；每月1次巡查路段；其他管养的乡、村道依情况适时巡查）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95BCF" w14:textId="0B6BF81A"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《宁夏回族自治区交通公路水路建设市场交通运输市场行政执法监管工作手册--公路水路建设市场行政执法检查清单》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3CC3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路政科</w:t>
            </w:r>
          </w:p>
        </w:tc>
      </w:tr>
      <w:tr w:rsidR="005F6ACC" w14:paraId="6D8DE039" w14:textId="77777777" w:rsidTr="00D54786">
        <w:trPr>
          <w:trHeight w:val="110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1481C"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8463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货运源头企业检查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AA95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重点检查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F1DAA"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货运源头企业/全覆盖检查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1B8E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每年检查2次抽查比例100%，辅以专项检查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07450" w14:textId="527A058B"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《宁夏回族自治区交通公路水路建设市场交通运输市场行政执法监管工作手册--运输市场行政执法检查清单》</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B0E3B"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路政科</w:t>
            </w:r>
          </w:p>
        </w:tc>
      </w:tr>
      <w:tr w:rsidR="005F6ACC" w14:paraId="1E844370" w14:textId="77777777" w:rsidTr="00D54786">
        <w:trPr>
          <w:trHeight w:val="128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FCF08"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66E81"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超限执法检查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A0370"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重点检查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2987C"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道路货运经营者/依频次检查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0B1C0"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依托固定超限检测站常态化的开展路面超限治理工作，并结合日常路面巡查以及非现场检测数据掌握到的货运车辆运行规律，有针对性的适时开展流动治理。</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FF163" w14:textId="58B8813C"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《宁夏回族自治区交通公路水路建设市场交通运输市场行政执法监管工作手册--公路水路建设市场行政执法检查清单》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C2641"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路政科</w:t>
            </w:r>
          </w:p>
        </w:tc>
      </w:tr>
      <w:tr w:rsidR="005F6ACC" w14:paraId="7EBE98E6" w14:textId="77777777" w:rsidTr="00D54786">
        <w:trPr>
          <w:trHeight w:val="98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BDF8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B0E9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工程质量和安全检查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B9AD0"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重点检查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EDD0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辖区公路水路在建项目/全覆盖检查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2299C"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每年综合督查2次，辅以专项检查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33E3B" w14:textId="4E95826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《宁夏回族自治区交通公路水路建设市场交通运输市场行政执法监管工作手册--公路水路建设市场行政执法检查清单》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7413C"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安全与质监科</w:t>
            </w:r>
          </w:p>
        </w:tc>
      </w:tr>
      <w:tr w:rsidR="005F6ACC" w14:paraId="3E13CD12" w14:textId="77777777" w:rsidTr="00D54786">
        <w:trPr>
          <w:trHeight w:val="162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CA45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A8AE2"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道路运输路检路查</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EC6C3"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一般检查</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BE554"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1、市区路段客运市场秩序巡查，主要检查汽车客运站、学校周边、高速路口和过境重要路段等。2、重点查处非法营运，查纠“两客</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危</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货”、出租车等违规经营行为/按频次巡查</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9B417"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在重要路段、重点时段，根据需要实施日常抽检抽查</w:t>
            </w:r>
          </w:p>
        </w:tc>
        <w:tc>
          <w:tcPr>
            <w:tcW w:w="1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CE66B" w14:textId="77777777" w:rsidR="005F6ACC" w:rsidRDefault="005F6ACC" w:rsidP="00D5478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《中华人民共和国道路运输条例》</w:t>
            </w:r>
          </w:p>
          <w:p w14:paraId="0E973586" w14:textId="77777777" w:rsidR="005F6ACC" w:rsidRDefault="005F6ACC" w:rsidP="00D5478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《宁夏回族自治区道路运输管理条例》</w:t>
            </w:r>
          </w:p>
          <w:p w14:paraId="4D6E9166" w14:textId="56A4E2A2"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交通运输</w:t>
            </w:r>
            <w:proofErr w:type="gramStart"/>
            <w:r>
              <w:rPr>
                <w:rFonts w:ascii="宋体" w:hAnsi="宋体" w:cs="宋体" w:hint="eastAsia"/>
                <w:color w:val="000000"/>
                <w:kern w:val="0"/>
                <w:sz w:val="20"/>
                <w:szCs w:val="20"/>
                <w:lang w:bidi="ar"/>
              </w:rPr>
              <w:t>部令及地方性</w:t>
            </w:r>
            <w:proofErr w:type="gramEnd"/>
            <w:r>
              <w:rPr>
                <w:rFonts w:ascii="宋体" w:hAnsi="宋体" w:cs="宋体" w:hint="eastAsia"/>
                <w:color w:val="000000"/>
                <w:kern w:val="0"/>
                <w:sz w:val="20"/>
                <w:szCs w:val="20"/>
                <w:lang w:bidi="ar"/>
              </w:rPr>
              <w:t>法规等</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CD4FE" w14:textId="77777777" w:rsidR="005F6ACC" w:rsidRDefault="005F6ACC" w:rsidP="00D54786">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执法稽查科</w:t>
            </w:r>
          </w:p>
        </w:tc>
      </w:tr>
    </w:tbl>
    <w:p w14:paraId="5E039461" w14:textId="77777777" w:rsidR="00CF1D59" w:rsidRDefault="00CF1D59" w:rsidP="005F6ACC"/>
    <w:sectPr w:rsidR="00CF1D59" w:rsidSect="005F6ACC">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99684" w14:textId="77777777" w:rsidR="000720B0" w:rsidRDefault="000720B0" w:rsidP="005F6ACC">
      <w:pPr>
        <w:rPr>
          <w:rFonts w:hint="eastAsia"/>
        </w:rPr>
      </w:pPr>
      <w:r>
        <w:separator/>
      </w:r>
    </w:p>
  </w:endnote>
  <w:endnote w:type="continuationSeparator" w:id="0">
    <w:p w14:paraId="649F624D" w14:textId="77777777" w:rsidR="000720B0" w:rsidRDefault="000720B0" w:rsidP="005F6A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C55E" w14:textId="77777777" w:rsidR="000720B0" w:rsidRDefault="000720B0" w:rsidP="005F6ACC">
      <w:pPr>
        <w:rPr>
          <w:rFonts w:hint="eastAsia"/>
        </w:rPr>
      </w:pPr>
      <w:r>
        <w:separator/>
      </w:r>
    </w:p>
  </w:footnote>
  <w:footnote w:type="continuationSeparator" w:id="0">
    <w:p w14:paraId="63609E18" w14:textId="77777777" w:rsidR="000720B0" w:rsidRDefault="000720B0" w:rsidP="005F6A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59"/>
    <w:rsid w:val="000720B0"/>
    <w:rsid w:val="005F6ACC"/>
    <w:rsid w:val="0078265D"/>
    <w:rsid w:val="00CF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C80DD"/>
  <w15:chartTrackingRefBased/>
  <w15:docId w15:val="{84DE156D-252C-40C0-BD78-05945D74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F6ACC"/>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CF1D59"/>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CF1D59"/>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CF1D5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CF1D59"/>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CF1D59"/>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CF1D59"/>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CF1D59"/>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CF1D59"/>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CF1D59"/>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CF1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CF1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CF1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CF1D59"/>
    <w:rPr>
      <w:rFonts w:cstheme="majorBidi"/>
      <w:color w:val="2F5496" w:themeColor="accent1" w:themeShade="BF"/>
      <w:sz w:val="28"/>
      <w:szCs w:val="28"/>
    </w:rPr>
  </w:style>
  <w:style w:type="character" w:customStyle="1" w:styleId="50">
    <w:name w:val="标题 5 字符"/>
    <w:basedOn w:val="a1"/>
    <w:link w:val="5"/>
    <w:uiPriority w:val="9"/>
    <w:semiHidden/>
    <w:rsid w:val="00CF1D59"/>
    <w:rPr>
      <w:rFonts w:cstheme="majorBidi"/>
      <w:color w:val="2F5496" w:themeColor="accent1" w:themeShade="BF"/>
      <w:sz w:val="24"/>
    </w:rPr>
  </w:style>
  <w:style w:type="character" w:customStyle="1" w:styleId="60">
    <w:name w:val="标题 6 字符"/>
    <w:basedOn w:val="a1"/>
    <w:link w:val="6"/>
    <w:uiPriority w:val="9"/>
    <w:semiHidden/>
    <w:rsid w:val="00CF1D59"/>
    <w:rPr>
      <w:rFonts w:cstheme="majorBidi"/>
      <w:b/>
      <w:bCs/>
      <w:color w:val="2F5496" w:themeColor="accent1" w:themeShade="BF"/>
    </w:rPr>
  </w:style>
  <w:style w:type="character" w:customStyle="1" w:styleId="70">
    <w:name w:val="标题 7 字符"/>
    <w:basedOn w:val="a1"/>
    <w:link w:val="7"/>
    <w:uiPriority w:val="9"/>
    <w:semiHidden/>
    <w:rsid w:val="00CF1D59"/>
    <w:rPr>
      <w:rFonts w:cstheme="majorBidi"/>
      <w:b/>
      <w:bCs/>
      <w:color w:val="595959" w:themeColor="text1" w:themeTint="A6"/>
    </w:rPr>
  </w:style>
  <w:style w:type="character" w:customStyle="1" w:styleId="80">
    <w:name w:val="标题 8 字符"/>
    <w:basedOn w:val="a1"/>
    <w:link w:val="8"/>
    <w:uiPriority w:val="9"/>
    <w:semiHidden/>
    <w:rsid w:val="00CF1D59"/>
    <w:rPr>
      <w:rFonts w:cstheme="majorBidi"/>
      <w:color w:val="595959" w:themeColor="text1" w:themeTint="A6"/>
    </w:rPr>
  </w:style>
  <w:style w:type="character" w:customStyle="1" w:styleId="90">
    <w:name w:val="标题 9 字符"/>
    <w:basedOn w:val="a1"/>
    <w:link w:val="9"/>
    <w:uiPriority w:val="9"/>
    <w:semiHidden/>
    <w:rsid w:val="00CF1D59"/>
    <w:rPr>
      <w:rFonts w:eastAsiaTheme="majorEastAsia" w:cstheme="majorBidi"/>
      <w:color w:val="595959" w:themeColor="text1" w:themeTint="A6"/>
    </w:rPr>
  </w:style>
  <w:style w:type="paragraph" w:styleId="a4">
    <w:name w:val="Title"/>
    <w:basedOn w:val="a"/>
    <w:next w:val="a"/>
    <w:link w:val="a5"/>
    <w:uiPriority w:val="10"/>
    <w:qFormat/>
    <w:rsid w:val="00CF1D5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CF1D5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CF1D5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CF1D5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1D59"/>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CF1D59"/>
    <w:rPr>
      <w:i/>
      <w:iCs/>
      <w:color w:val="404040" w:themeColor="text1" w:themeTint="BF"/>
    </w:rPr>
  </w:style>
  <w:style w:type="paragraph" w:styleId="aa">
    <w:name w:val="List Paragraph"/>
    <w:basedOn w:val="a"/>
    <w:uiPriority w:val="34"/>
    <w:qFormat/>
    <w:rsid w:val="00CF1D59"/>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CF1D59"/>
    <w:rPr>
      <w:i/>
      <w:iCs/>
      <w:color w:val="2F5496" w:themeColor="accent1" w:themeShade="BF"/>
    </w:rPr>
  </w:style>
  <w:style w:type="paragraph" w:styleId="ac">
    <w:name w:val="Intense Quote"/>
    <w:basedOn w:val="a"/>
    <w:next w:val="a"/>
    <w:link w:val="ad"/>
    <w:uiPriority w:val="30"/>
    <w:qFormat/>
    <w:rsid w:val="00CF1D5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d">
    <w:name w:val="明显引用 字符"/>
    <w:basedOn w:val="a1"/>
    <w:link w:val="ac"/>
    <w:uiPriority w:val="30"/>
    <w:rsid w:val="00CF1D59"/>
    <w:rPr>
      <w:i/>
      <w:iCs/>
      <w:color w:val="2F5496" w:themeColor="accent1" w:themeShade="BF"/>
    </w:rPr>
  </w:style>
  <w:style w:type="character" w:styleId="ae">
    <w:name w:val="Intense Reference"/>
    <w:basedOn w:val="a1"/>
    <w:uiPriority w:val="32"/>
    <w:qFormat/>
    <w:rsid w:val="00CF1D59"/>
    <w:rPr>
      <w:b/>
      <w:bCs/>
      <w:smallCaps/>
      <w:color w:val="2F5496" w:themeColor="accent1" w:themeShade="BF"/>
      <w:spacing w:val="5"/>
    </w:rPr>
  </w:style>
  <w:style w:type="paragraph" w:styleId="af">
    <w:name w:val="header"/>
    <w:basedOn w:val="a"/>
    <w:link w:val="af0"/>
    <w:uiPriority w:val="99"/>
    <w:unhideWhenUsed/>
    <w:rsid w:val="005F6ACC"/>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5F6ACC"/>
    <w:rPr>
      <w:sz w:val="18"/>
      <w:szCs w:val="18"/>
    </w:rPr>
  </w:style>
  <w:style w:type="paragraph" w:styleId="af1">
    <w:name w:val="footer"/>
    <w:basedOn w:val="a"/>
    <w:link w:val="af2"/>
    <w:uiPriority w:val="99"/>
    <w:unhideWhenUsed/>
    <w:rsid w:val="005F6ACC"/>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5F6ACC"/>
    <w:rPr>
      <w:sz w:val="18"/>
      <w:szCs w:val="18"/>
    </w:rPr>
  </w:style>
  <w:style w:type="paragraph" w:styleId="a0">
    <w:name w:val="Normal Indent"/>
    <w:basedOn w:val="a"/>
    <w:uiPriority w:val="99"/>
    <w:semiHidden/>
    <w:unhideWhenUsed/>
    <w:rsid w:val="005F6A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1109</Words>
  <Characters>1122</Characters>
  <Application>Microsoft Office Word</Application>
  <DocSecurity>0</DocSecurity>
  <Lines>124</Lines>
  <Paragraphs>111</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国栋 魏</dc:creator>
  <cp:keywords/>
  <dc:description/>
  <cp:lastModifiedBy>国栋 魏</cp:lastModifiedBy>
  <cp:revision>2</cp:revision>
  <dcterms:created xsi:type="dcterms:W3CDTF">2025-05-06T09:33:00Z</dcterms:created>
  <dcterms:modified xsi:type="dcterms:W3CDTF">2025-05-06T09:36:00Z</dcterms:modified>
</cp:coreProperties>
</file>