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7103" w14:textId="77777777" w:rsidR="00193F81" w:rsidRDefault="00193F81" w:rsidP="00193F81">
      <w:pPr>
        <w:autoSpaceDN w:val="0"/>
        <w:spacing w:line="600" w:lineRule="exact"/>
        <w:rPr>
          <w:rFonts w:ascii="黑体" w:eastAsia="黑体"/>
          <w:color w:val="000000"/>
          <w:sz w:val="32"/>
        </w:rPr>
      </w:pPr>
      <w:r>
        <w:rPr>
          <w:rFonts w:ascii="黑体" w:eastAsia="黑体" w:hint="eastAsia"/>
          <w:color w:val="000000"/>
          <w:sz w:val="32"/>
        </w:rPr>
        <w:t>附件1：</w:t>
      </w:r>
    </w:p>
    <w:p w14:paraId="1A583D62" w14:textId="77777777" w:rsidR="00193F81" w:rsidRDefault="00193F81" w:rsidP="00193F81">
      <w:pPr>
        <w:autoSpaceDN w:val="0"/>
        <w:spacing w:line="600" w:lineRule="exact"/>
        <w:jc w:val="center"/>
        <w:rPr>
          <w:rFonts w:ascii="宋体" w:hAnsi="宋体" w:cs="宋体" w:hint="eastAsia"/>
          <w:b/>
          <w:bCs/>
          <w:color w:val="000000"/>
          <w:sz w:val="44"/>
        </w:rPr>
      </w:pPr>
      <w:r>
        <w:rPr>
          <w:rFonts w:ascii="宋体" w:hAnsi="宋体" w:cs="宋体" w:hint="eastAsia"/>
          <w:b/>
          <w:bCs/>
          <w:color w:val="000000"/>
          <w:sz w:val="44"/>
        </w:rPr>
        <w:t>2025年度吴忠市交通运输局“双随机”抽查事项清单</w:t>
      </w:r>
    </w:p>
    <w:tbl>
      <w:tblPr>
        <w:tblW w:w="1452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87"/>
        <w:gridCol w:w="1963"/>
        <w:gridCol w:w="2412"/>
        <w:gridCol w:w="1200"/>
        <w:gridCol w:w="1738"/>
        <w:gridCol w:w="1700"/>
        <w:gridCol w:w="2763"/>
      </w:tblGrid>
      <w:tr w:rsidR="00193F81" w14:paraId="70423CC1" w14:textId="77777777" w:rsidTr="00D54786">
        <w:trPr>
          <w:trHeight w:val="637"/>
        </w:trPr>
        <w:tc>
          <w:tcPr>
            <w:tcW w:w="562" w:type="dxa"/>
            <w:vAlign w:val="center"/>
          </w:tcPr>
          <w:p w14:paraId="4637A268"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序号</w:t>
            </w:r>
          </w:p>
        </w:tc>
        <w:tc>
          <w:tcPr>
            <w:tcW w:w="2187" w:type="dxa"/>
            <w:vAlign w:val="center"/>
          </w:tcPr>
          <w:p w14:paraId="5F5E4666"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抽查任务名称</w:t>
            </w:r>
          </w:p>
        </w:tc>
        <w:tc>
          <w:tcPr>
            <w:tcW w:w="1963" w:type="dxa"/>
            <w:vAlign w:val="center"/>
          </w:tcPr>
          <w:p w14:paraId="3EBF8FFF"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抽查事项</w:t>
            </w:r>
          </w:p>
        </w:tc>
        <w:tc>
          <w:tcPr>
            <w:tcW w:w="2412" w:type="dxa"/>
            <w:vAlign w:val="center"/>
          </w:tcPr>
          <w:p w14:paraId="5603F46A"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抽查对象</w:t>
            </w:r>
          </w:p>
        </w:tc>
        <w:tc>
          <w:tcPr>
            <w:tcW w:w="1200" w:type="dxa"/>
            <w:vAlign w:val="center"/>
          </w:tcPr>
          <w:p w14:paraId="70C46AFC"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事项类别</w:t>
            </w:r>
          </w:p>
        </w:tc>
        <w:tc>
          <w:tcPr>
            <w:tcW w:w="1738" w:type="dxa"/>
            <w:vAlign w:val="center"/>
          </w:tcPr>
          <w:p w14:paraId="3A4935A4"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检查方式</w:t>
            </w:r>
          </w:p>
        </w:tc>
        <w:tc>
          <w:tcPr>
            <w:tcW w:w="1700" w:type="dxa"/>
            <w:vAlign w:val="center"/>
          </w:tcPr>
          <w:p w14:paraId="259BA43B"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检查主体</w:t>
            </w:r>
          </w:p>
        </w:tc>
        <w:tc>
          <w:tcPr>
            <w:tcW w:w="2763" w:type="dxa"/>
            <w:vAlign w:val="center"/>
          </w:tcPr>
          <w:p w14:paraId="5EF82221" w14:textId="77777777" w:rsidR="00193F81" w:rsidRDefault="00193F81" w:rsidP="00D54786">
            <w:pPr>
              <w:autoSpaceDN w:val="0"/>
              <w:spacing w:line="300" w:lineRule="exact"/>
              <w:jc w:val="center"/>
              <w:rPr>
                <w:rFonts w:ascii="仿宋_GB2312" w:eastAsia="仿宋_GB2312"/>
                <w:b/>
                <w:color w:val="000000"/>
                <w:szCs w:val="21"/>
              </w:rPr>
            </w:pPr>
            <w:r>
              <w:rPr>
                <w:rFonts w:ascii="仿宋_GB2312" w:eastAsia="仿宋_GB2312" w:hint="eastAsia"/>
                <w:b/>
                <w:color w:val="000000"/>
                <w:szCs w:val="21"/>
              </w:rPr>
              <w:t>检查依据</w:t>
            </w:r>
          </w:p>
        </w:tc>
      </w:tr>
      <w:tr w:rsidR="00193F81" w14:paraId="76A9A911" w14:textId="77777777" w:rsidTr="00D54786">
        <w:tc>
          <w:tcPr>
            <w:tcW w:w="562" w:type="dxa"/>
            <w:vAlign w:val="center"/>
          </w:tcPr>
          <w:p w14:paraId="3821A01D" w14:textId="77777777" w:rsidR="00193F81" w:rsidRDefault="00193F81" w:rsidP="00D54786">
            <w:pPr>
              <w:autoSpaceDN w:val="0"/>
              <w:spacing w:line="3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p>
        </w:tc>
        <w:tc>
          <w:tcPr>
            <w:tcW w:w="2187" w:type="dxa"/>
            <w:vAlign w:val="center"/>
          </w:tcPr>
          <w:p w14:paraId="7D0856DE"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道路运输企业安全生产监督检查</w:t>
            </w:r>
          </w:p>
        </w:tc>
        <w:tc>
          <w:tcPr>
            <w:tcW w:w="1963" w:type="dxa"/>
            <w:vAlign w:val="center"/>
          </w:tcPr>
          <w:p w14:paraId="43F976CA" w14:textId="77777777" w:rsidR="00193F81" w:rsidRDefault="00193F81"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对道路运输企业安全生产监督检查</w:t>
            </w:r>
          </w:p>
        </w:tc>
        <w:tc>
          <w:tcPr>
            <w:tcW w:w="2412" w:type="dxa"/>
            <w:vAlign w:val="center"/>
          </w:tcPr>
          <w:p w14:paraId="544EEBD6"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道路运输经营者、道路运输相关业务经营者</w:t>
            </w:r>
          </w:p>
        </w:tc>
        <w:tc>
          <w:tcPr>
            <w:tcW w:w="1200" w:type="dxa"/>
            <w:vAlign w:val="center"/>
          </w:tcPr>
          <w:p w14:paraId="72BA6361" w14:textId="77777777" w:rsidR="00193F81" w:rsidRDefault="00193F81" w:rsidP="00D54786">
            <w:pPr>
              <w:adjustRightInd w:val="0"/>
              <w:snapToGrid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重点</w:t>
            </w:r>
          </w:p>
        </w:tc>
        <w:tc>
          <w:tcPr>
            <w:tcW w:w="1738" w:type="dxa"/>
            <w:vAlign w:val="center"/>
          </w:tcPr>
          <w:p w14:paraId="73837CFE"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现场</w:t>
            </w:r>
          </w:p>
          <w:p w14:paraId="165F06C0"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检查</w:t>
            </w:r>
          </w:p>
        </w:tc>
        <w:tc>
          <w:tcPr>
            <w:tcW w:w="1700" w:type="dxa"/>
            <w:vAlign w:val="center"/>
          </w:tcPr>
          <w:p w14:paraId="5692AB92"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吴忠市交通运输局 </w:t>
            </w:r>
          </w:p>
        </w:tc>
        <w:tc>
          <w:tcPr>
            <w:tcW w:w="2763" w:type="dxa"/>
            <w:vAlign w:val="center"/>
          </w:tcPr>
          <w:p w14:paraId="53CCE63E"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w:t>
            </w:r>
            <w:hyperlink r:id="rId6" w:history="1">
              <w:r>
                <w:rPr>
                  <w:rFonts w:ascii="仿宋_GB2312" w:eastAsia="仿宋_GB2312" w:hAnsi="仿宋_GB2312" w:cs="仿宋_GB2312" w:hint="eastAsia"/>
                  <w:color w:val="000000"/>
                  <w:szCs w:val="21"/>
                </w:rPr>
                <w:t>中华人民共和国</w:t>
              </w:r>
            </w:hyperlink>
            <w:hyperlink r:id="rId7" w:history="1">
              <w:r>
                <w:rPr>
                  <w:rFonts w:ascii="仿宋_GB2312" w:eastAsia="仿宋_GB2312" w:hAnsi="仿宋_GB2312" w:cs="仿宋_GB2312" w:hint="eastAsia"/>
                  <w:color w:val="000000"/>
                  <w:szCs w:val="21"/>
                </w:rPr>
                <w:t>安全生产</w:t>
              </w:r>
            </w:hyperlink>
            <w:r>
              <w:rPr>
                <w:rFonts w:ascii="仿宋_GB2312" w:eastAsia="仿宋_GB2312" w:hAnsi="仿宋_GB2312" w:cs="仿宋_GB2312" w:hint="eastAsia"/>
                <w:color w:val="000000"/>
                <w:szCs w:val="21"/>
              </w:rPr>
              <w:t xml:space="preserve">法》 </w:t>
            </w:r>
          </w:p>
        </w:tc>
      </w:tr>
      <w:tr w:rsidR="00193F81" w14:paraId="1985F951" w14:textId="77777777" w:rsidTr="00D54786">
        <w:trPr>
          <w:trHeight w:val="2340"/>
        </w:trPr>
        <w:tc>
          <w:tcPr>
            <w:tcW w:w="562" w:type="dxa"/>
            <w:vAlign w:val="center"/>
          </w:tcPr>
          <w:p w14:paraId="65C7FB7E" w14:textId="77777777" w:rsidR="00193F81" w:rsidRDefault="00193F81" w:rsidP="00D54786">
            <w:pPr>
              <w:autoSpaceDN w:val="0"/>
              <w:spacing w:line="3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w:t>
            </w:r>
          </w:p>
        </w:tc>
        <w:tc>
          <w:tcPr>
            <w:tcW w:w="2187" w:type="dxa"/>
            <w:vAlign w:val="center"/>
          </w:tcPr>
          <w:p w14:paraId="4407F69A"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道路运输经营及相关业务市场的监督检查（含客运经营、货运经营、（站）场经营、机动车维修经营、机动车驾驶员培训等）</w:t>
            </w:r>
          </w:p>
        </w:tc>
        <w:tc>
          <w:tcPr>
            <w:tcW w:w="1963" w:type="dxa"/>
            <w:vAlign w:val="center"/>
          </w:tcPr>
          <w:p w14:paraId="008C4605"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p>
          <w:p w14:paraId="2066D9A7"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对道路运输经营及相关业务市场的监督检查（含客运经营、货运经营、（站）场经营、机动车维修经营、机动车驾驶员培训等）</w:t>
            </w:r>
          </w:p>
          <w:p w14:paraId="24B8991D"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p>
        </w:tc>
        <w:tc>
          <w:tcPr>
            <w:tcW w:w="2412" w:type="dxa"/>
            <w:vAlign w:val="center"/>
          </w:tcPr>
          <w:p w14:paraId="58D6AA6A"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道路运输经营者、道路运输相关业务经营者</w:t>
            </w:r>
          </w:p>
        </w:tc>
        <w:tc>
          <w:tcPr>
            <w:tcW w:w="1200" w:type="dxa"/>
            <w:vAlign w:val="center"/>
          </w:tcPr>
          <w:p w14:paraId="3E548188"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一般</w:t>
            </w:r>
          </w:p>
        </w:tc>
        <w:tc>
          <w:tcPr>
            <w:tcW w:w="1738" w:type="dxa"/>
            <w:vAlign w:val="center"/>
          </w:tcPr>
          <w:p w14:paraId="4AFA1878"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现场</w:t>
            </w:r>
          </w:p>
          <w:p w14:paraId="77899A2B"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检查</w:t>
            </w:r>
          </w:p>
        </w:tc>
        <w:tc>
          <w:tcPr>
            <w:tcW w:w="1700" w:type="dxa"/>
            <w:vAlign w:val="center"/>
          </w:tcPr>
          <w:p w14:paraId="74EC5702" w14:textId="77777777" w:rsidR="00193F81" w:rsidRDefault="00193F81" w:rsidP="00D54786">
            <w:pPr>
              <w:autoSpaceDN w:val="0"/>
              <w:spacing w:line="300" w:lineRule="exact"/>
              <w:jc w:val="center"/>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吴忠市交通运输局</w:t>
            </w:r>
          </w:p>
        </w:tc>
        <w:tc>
          <w:tcPr>
            <w:tcW w:w="2763" w:type="dxa"/>
            <w:vAlign w:val="center"/>
          </w:tcPr>
          <w:p w14:paraId="29D2DD71" w14:textId="77777777" w:rsidR="00193F81" w:rsidRDefault="00193F81" w:rsidP="00D54786">
            <w:pPr>
              <w:autoSpaceDN w:val="0"/>
              <w:spacing w:line="300" w:lineRule="exact"/>
              <w:rPr>
                <w:rFonts w:ascii="仿宋_GB2312" w:eastAsia="仿宋_GB2312" w:hAnsi="仿宋_GB2312" w:cs="仿宋_GB2312" w:hint="eastAsia"/>
                <w:color w:val="000000" w:themeColor="text1"/>
                <w:szCs w:val="21"/>
              </w:rPr>
            </w:pPr>
            <w:r>
              <w:rPr>
                <w:rFonts w:ascii="仿宋_GB2312" w:eastAsia="仿宋_GB2312" w:hAnsi="仿宋_GB2312" w:cs="仿宋_GB2312" w:hint="eastAsia"/>
                <w:color w:val="000000" w:themeColor="text1"/>
                <w:szCs w:val="21"/>
              </w:rPr>
              <w:t>《中华人民共和国道路运输条例》《宁夏回族自治区道路运输管理条例》</w:t>
            </w:r>
          </w:p>
        </w:tc>
      </w:tr>
      <w:tr w:rsidR="00193F81" w14:paraId="47FB157A" w14:textId="77777777" w:rsidTr="00193F81">
        <w:trPr>
          <w:trHeight w:val="2542"/>
        </w:trPr>
        <w:tc>
          <w:tcPr>
            <w:tcW w:w="562" w:type="dxa"/>
            <w:vAlign w:val="center"/>
          </w:tcPr>
          <w:p w14:paraId="43BA53EB" w14:textId="77777777" w:rsidR="00193F81" w:rsidRDefault="00193F81" w:rsidP="00D54786">
            <w:pPr>
              <w:autoSpaceDN w:val="0"/>
              <w:spacing w:line="3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w:t>
            </w:r>
          </w:p>
        </w:tc>
        <w:tc>
          <w:tcPr>
            <w:tcW w:w="2187" w:type="dxa"/>
            <w:vAlign w:val="center"/>
          </w:tcPr>
          <w:p w14:paraId="5E3240C0"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国内水路运输市场监督检查</w:t>
            </w:r>
          </w:p>
        </w:tc>
        <w:tc>
          <w:tcPr>
            <w:tcW w:w="1963" w:type="dxa"/>
            <w:vAlign w:val="center"/>
          </w:tcPr>
          <w:p w14:paraId="48EAF28C"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对国内水路运输企业经营资质检查、对水路运输辅助业经营资质的检查等</w:t>
            </w:r>
          </w:p>
        </w:tc>
        <w:tc>
          <w:tcPr>
            <w:tcW w:w="2412" w:type="dxa"/>
            <w:vAlign w:val="center"/>
          </w:tcPr>
          <w:p w14:paraId="7867B4CE"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水路运输企业、水路运输辅助业经营者</w:t>
            </w:r>
          </w:p>
        </w:tc>
        <w:tc>
          <w:tcPr>
            <w:tcW w:w="1200" w:type="dxa"/>
            <w:vAlign w:val="center"/>
          </w:tcPr>
          <w:p w14:paraId="3D903BC5" w14:textId="77777777" w:rsidR="00193F81" w:rsidRDefault="00193F81"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kern w:val="0"/>
                <w:szCs w:val="21"/>
              </w:rPr>
              <w:t xml:space="preserve">   重点</w:t>
            </w:r>
          </w:p>
        </w:tc>
        <w:tc>
          <w:tcPr>
            <w:tcW w:w="1738" w:type="dxa"/>
            <w:vAlign w:val="center"/>
          </w:tcPr>
          <w:p w14:paraId="6151D4FF"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实地、书面检查</w:t>
            </w:r>
          </w:p>
        </w:tc>
        <w:tc>
          <w:tcPr>
            <w:tcW w:w="1700" w:type="dxa"/>
            <w:vAlign w:val="center"/>
          </w:tcPr>
          <w:p w14:paraId="1B653213"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吴忠市交通运输局 </w:t>
            </w:r>
          </w:p>
        </w:tc>
        <w:tc>
          <w:tcPr>
            <w:tcW w:w="2763" w:type="dxa"/>
            <w:vAlign w:val="center"/>
          </w:tcPr>
          <w:p w14:paraId="143ECAE9" w14:textId="77777777" w:rsidR="00193F81" w:rsidRDefault="00193F81"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《国内水路运输管理条例》《国内水路运输管理规定》《国内水路运输辅助业管理规定》 </w:t>
            </w:r>
          </w:p>
        </w:tc>
      </w:tr>
      <w:tr w:rsidR="00193F81" w14:paraId="718C4531" w14:textId="77777777" w:rsidTr="00D54786">
        <w:trPr>
          <w:trHeight w:val="1915"/>
        </w:trPr>
        <w:tc>
          <w:tcPr>
            <w:tcW w:w="562" w:type="dxa"/>
            <w:vAlign w:val="center"/>
          </w:tcPr>
          <w:p w14:paraId="0673B214" w14:textId="77777777" w:rsidR="00193F81" w:rsidRDefault="00193F81" w:rsidP="00D54786">
            <w:pPr>
              <w:autoSpaceDN w:val="0"/>
              <w:spacing w:line="3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4</w:t>
            </w:r>
          </w:p>
        </w:tc>
        <w:tc>
          <w:tcPr>
            <w:tcW w:w="2187" w:type="dxa"/>
            <w:vAlign w:val="center"/>
          </w:tcPr>
          <w:p w14:paraId="1F836B0E"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通航水域水上水下</w:t>
            </w:r>
          </w:p>
          <w:p w14:paraId="0FAEBDFF"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活动的安全检查</w:t>
            </w:r>
          </w:p>
        </w:tc>
        <w:tc>
          <w:tcPr>
            <w:tcW w:w="1963" w:type="dxa"/>
            <w:vAlign w:val="center"/>
          </w:tcPr>
          <w:p w14:paraId="3DBBA52C"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对船舶航行条件的安全检查、对船员适</w:t>
            </w:r>
            <w:proofErr w:type="gramStart"/>
            <w:r>
              <w:rPr>
                <w:rFonts w:ascii="仿宋_GB2312" w:eastAsia="仿宋_GB2312" w:hAnsi="仿宋_GB2312" w:cs="仿宋_GB2312" w:hint="eastAsia"/>
                <w:color w:val="000000"/>
                <w:szCs w:val="21"/>
              </w:rPr>
              <w:t>任条件</w:t>
            </w:r>
            <w:proofErr w:type="gramEnd"/>
            <w:r>
              <w:rPr>
                <w:rFonts w:ascii="仿宋_GB2312" w:eastAsia="仿宋_GB2312" w:hAnsi="仿宋_GB2312" w:cs="仿宋_GB2312" w:hint="eastAsia"/>
                <w:color w:val="000000"/>
                <w:szCs w:val="21"/>
              </w:rPr>
              <w:t>的安全检查、对通航水域水上水下活动的安全检查</w:t>
            </w:r>
          </w:p>
        </w:tc>
        <w:tc>
          <w:tcPr>
            <w:tcW w:w="2412" w:type="dxa"/>
            <w:vAlign w:val="center"/>
          </w:tcPr>
          <w:p w14:paraId="62BC520A"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水上水下活动单位</w:t>
            </w:r>
          </w:p>
        </w:tc>
        <w:tc>
          <w:tcPr>
            <w:tcW w:w="1200" w:type="dxa"/>
            <w:vAlign w:val="center"/>
          </w:tcPr>
          <w:p w14:paraId="6DA4274A" w14:textId="77777777" w:rsidR="00193F81" w:rsidRDefault="00193F81" w:rsidP="00D54786">
            <w:pPr>
              <w:autoSpaceDN w:val="0"/>
              <w:spacing w:line="300" w:lineRule="exac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重点</w:t>
            </w:r>
          </w:p>
        </w:tc>
        <w:tc>
          <w:tcPr>
            <w:tcW w:w="1738" w:type="dxa"/>
            <w:vAlign w:val="center"/>
          </w:tcPr>
          <w:p w14:paraId="4D844408"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现场、书面检查</w:t>
            </w:r>
          </w:p>
        </w:tc>
        <w:tc>
          <w:tcPr>
            <w:tcW w:w="1700" w:type="dxa"/>
            <w:vAlign w:val="center"/>
          </w:tcPr>
          <w:p w14:paraId="6632D460"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吴忠市交通运输局 </w:t>
            </w:r>
          </w:p>
        </w:tc>
        <w:tc>
          <w:tcPr>
            <w:tcW w:w="2763" w:type="dxa"/>
            <w:vAlign w:val="center"/>
          </w:tcPr>
          <w:p w14:paraId="470A4F2D" w14:textId="77777777" w:rsidR="00193F81" w:rsidRDefault="00193F81"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《中华人民共和国内河交通安全管理条例》</w:t>
            </w:r>
          </w:p>
        </w:tc>
      </w:tr>
      <w:tr w:rsidR="00193F81" w14:paraId="0250068E" w14:textId="77777777" w:rsidTr="00D54786">
        <w:trPr>
          <w:trHeight w:val="1303"/>
        </w:trPr>
        <w:tc>
          <w:tcPr>
            <w:tcW w:w="562" w:type="dxa"/>
            <w:vAlign w:val="center"/>
          </w:tcPr>
          <w:p w14:paraId="2D474C75" w14:textId="77777777" w:rsidR="00193F81" w:rsidRDefault="00193F81" w:rsidP="00D54786">
            <w:pPr>
              <w:autoSpaceDN w:val="0"/>
              <w:spacing w:line="3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p>
        </w:tc>
        <w:tc>
          <w:tcPr>
            <w:tcW w:w="2187" w:type="dxa"/>
            <w:vAlign w:val="center"/>
          </w:tcPr>
          <w:p w14:paraId="234CEE76"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重点货运源头单位的监督检查</w:t>
            </w:r>
          </w:p>
        </w:tc>
        <w:tc>
          <w:tcPr>
            <w:tcW w:w="1963" w:type="dxa"/>
            <w:vAlign w:val="center"/>
          </w:tcPr>
          <w:p w14:paraId="5964E30E" w14:textId="77777777" w:rsidR="00193F81" w:rsidRDefault="00193F81" w:rsidP="00D54786">
            <w:pPr>
              <w:autoSpaceDN w:val="0"/>
              <w:spacing w:line="300" w:lineRule="exact"/>
              <w:ind w:firstLine="360"/>
              <w:jc w:val="center"/>
              <w:rPr>
                <w:rFonts w:ascii="仿宋_GB2312" w:eastAsia="仿宋_GB2312" w:hAnsi="仿宋_GB2312" w:cs="仿宋_GB2312" w:hint="eastAsia"/>
                <w:color w:val="000000"/>
                <w:szCs w:val="21"/>
              </w:rPr>
            </w:pPr>
          </w:p>
          <w:p w14:paraId="0E678726"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对重点货运源头单位的监督检查</w:t>
            </w:r>
          </w:p>
          <w:p w14:paraId="34B88855"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p>
        </w:tc>
        <w:tc>
          <w:tcPr>
            <w:tcW w:w="2412" w:type="dxa"/>
            <w:vAlign w:val="center"/>
          </w:tcPr>
          <w:p w14:paraId="26530251"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对本行政区域内确定的重点货运源头单位</w:t>
            </w:r>
          </w:p>
        </w:tc>
        <w:tc>
          <w:tcPr>
            <w:tcW w:w="1200" w:type="dxa"/>
            <w:vAlign w:val="center"/>
          </w:tcPr>
          <w:p w14:paraId="598CA44F" w14:textId="77777777" w:rsidR="00193F81" w:rsidRDefault="00193F81"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 </w:t>
            </w:r>
          </w:p>
          <w:p w14:paraId="03883E19" w14:textId="77777777" w:rsidR="00193F81" w:rsidRDefault="00193F81" w:rsidP="00D54786">
            <w:pPr>
              <w:autoSpaceDN w:val="0"/>
              <w:spacing w:line="300" w:lineRule="exac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重点</w:t>
            </w:r>
          </w:p>
        </w:tc>
        <w:tc>
          <w:tcPr>
            <w:tcW w:w="1738" w:type="dxa"/>
            <w:vAlign w:val="center"/>
          </w:tcPr>
          <w:p w14:paraId="1CC2FEEE"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现场</w:t>
            </w:r>
          </w:p>
          <w:p w14:paraId="7FBAACA0"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检查</w:t>
            </w:r>
          </w:p>
        </w:tc>
        <w:tc>
          <w:tcPr>
            <w:tcW w:w="1700" w:type="dxa"/>
            <w:vAlign w:val="center"/>
          </w:tcPr>
          <w:p w14:paraId="377D70DC"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吴忠市交通运输局  </w:t>
            </w:r>
          </w:p>
        </w:tc>
        <w:tc>
          <w:tcPr>
            <w:tcW w:w="2763" w:type="dxa"/>
            <w:vAlign w:val="center"/>
          </w:tcPr>
          <w:p w14:paraId="625F6FC7" w14:textId="77777777" w:rsidR="00193F81" w:rsidRDefault="00193F81"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《宁夏回族自治区治理货运车辆超限超载办法》</w:t>
            </w:r>
          </w:p>
        </w:tc>
      </w:tr>
      <w:tr w:rsidR="00193F81" w14:paraId="57C2DF9B" w14:textId="77777777" w:rsidTr="00D54786">
        <w:trPr>
          <w:trHeight w:val="2265"/>
        </w:trPr>
        <w:tc>
          <w:tcPr>
            <w:tcW w:w="562" w:type="dxa"/>
            <w:vAlign w:val="center"/>
          </w:tcPr>
          <w:p w14:paraId="53182038" w14:textId="77777777" w:rsidR="00193F81" w:rsidRDefault="00193F81" w:rsidP="00D54786">
            <w:pPr>
              <w:autoSpaceDN w:val="0"/>
              <w:spacing w:line="3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w:t>
            </w:r>
          </w:p>
        </w:tc>
        <w:tc>
          <w:tcPr>
            <w:tcW w:w="2187" w:type="dxa"/>
            <w:vAlign w:val="center"/>
          </w:tcPr>
          <w:p w14:paraId="5F98EBBF"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公路水运工程质量</w:t>
            </w:r>
          </w:p>
          <w:p w14:paraId="0898E258"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安全监督检查</w:t>
            </w:r>
          </w:p>
        </w:tc>
        <w:tc>
          <w:tcPr>
            <w:tcW w:w="1963" w:type="dxa"/>
            <w:vAlign w:val="center"/>
          </w:tcPr>
          <w:p w14:paraId="6C300948"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交通建设工程质量安全监督检查</w:t>
            </w:r>
          </w:p>
        </w:tc>
        <w:tc>
          <w:tcPr>
            <w:tcW w:w="2412" w:type="dxa"/>
            <w:vAlign w:val="center"/>
          </w:tcPr>
          <w:p w14:paraId="09E0FBA8"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市本级及利通区实施的交通建设工程项目</w:t>
            </w:r>
          </w:p>
        </w:tc>
        <w:tc>
          <w:tcPr>
            <w:tcW w:w="1200" w:type="dxa"/>
            <w:vAlign w:val="center"/>
          </w:tcPr>
          <w:p w14:paraId="1723101C" w14:textId="77777777" w:rsidR="00193F81" w:rsidRDefault="00193F81" w:rsidP="00D54786">
            <w:pPr>
              <w:autoSpaceDN w:val="0"/>
              <w:spacing w:line="300" w:lineRule="exac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  重点</w:t>
            </w:r>
          </w:p>
        </w:tc>
        <w:tc>
          <w:tcPr>
            <w:tcW w:w="1738" w:type="dxa"/>
            <w:vAlign w:val="center"/>
          </w:tcPr>
          <w:p w14:paraId="372DBEDD"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现场、书面</w:t>
            </w:r>
          </w:p>
          <w:p w14:paraId="71000311"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检查、专业机构核查</w:t>
            </w:r>
          </w:p>
        </w:tc>
        <w:tc>
          <w:tcPr>
            <w:tcW w:w="1700" w:type="dxa"/>
            <w:vAlign w:val="center"/>
          </w:tcPr>
          <w:p w14:paraId="28829AC3"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吴忠市交通运输局  </w:t>
            </w:r>
          </w:p>
        </w:tc>
        <w:tc>
          <w:tcPr>
            <w:tcW w:w="2763" w:type="dxa"/>
            <w:vAlign w:val="center"/>
          </w:tcPr>
          <w:p w14:paraId="357800C9"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《公路水运工程质量监督管理规定》《公路水运工程安全生产监督管理办法》</w:t>
            </w:r>
          </w:p>
        </w:tc>
      </w:tr>
      <w:tr w:rsidR="00193F81" w14:paraId="23EFA978" w14:textId="77777777" w:rsidTr="00193F81">
        <w:trPr>
          <w:trHeight w:val="2400"/>
        </w:trPr>
        <w:tc>
          <w:tcPr>
            <w:tcW w:w="562" w:type="dxa"/>
            <w:vAlign w:val="center"/>
          </w:tcPr>
          <w:p w14:paraId="6A092D2D" w14:textId="77777777" w:rsidR="00193F81" w:rsidRDefault="00193F81" w:rsidP="00D54786">
            <w:pPr>
              <w:autoSpaceDN w:val="0"/>
              <w:spacing w:line="300" w:lineRule="exact"/>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7</w:t>
            </w:r>
          </w:p>
        </w:tc>
        <w:tc>
          <w:tcPr>
            <w:tcW w:w="2187" w:type="dxa"/>
            <w:vAlign w:val="center"/>
          </w:tcPr>
          <w:p w14:paraId="7D16F874"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交通运输产品质量</w:t>
            </w:r>
          </w:p>
          <w:p w14:paraId="75466390"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抽检</w:t>
            </w:r>
          </w:p>
        </w:tc>
        <w:tc>
          <w:tcPr>
            <w:tcW w:w="1963" w:type="dxa"/>
            <w:vAlign w:val="center"/>
          </w:tcPr>
          <w:p w14:paraId="28667B08"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对公路水运工程项目所使用的交通运输产品进行抽检</w:t>
            </w:r>
          </w:p>
        </w:tc>
        <w:tc>
          <w:tcPr>
            <w:tcW w:w="2412" w:type="dxa"/>
            <w:vAlign w:val="center"/>
          </w:tcPr>
          <w:p w14:paraId="7E8AB526"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市本级及利通区实施的交通建设工程项目</w:t>
            </w:r>
          </w:p>
        </w:tc>
        <w:tc>
          <w:tcPr>
            <w:tcW w:w="1200" w:type="dxa"/>
            <w:vAlign w:val="center"/>
          </w:tcPr>
          <w:p w14:paraId="2A546B71" w14:textId="77777777" w:rsidR="00193F81" w:rsidRDefault="00193F81" w:rsidP="00D54786">
            <w:pPr>
              <w:autoSpaceDN w:val="0"/>
              <w:spacing w:line="300" w:lineRule="exact"/>
              <w:ind w:firstLineChars="100" w:firstLine="21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一般</w:t>
            </w:r>
          </w:p>
        </w:tc>
        <w:tc>
          <w:tcPr>
            <w:tcW w:w="1738" w:type="dxa"/>
            <w:vAlign w:val="center"/>
          </w:tcPr>
          <w:p w14:paraId="03AA929D"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抽样检查</w:t>
            </w:r>
          </w:p>
        </w:tc>
        <w:tc>
          <w:tcPr>
            <w:tcW w:w="1700" w:type="dxa"/>
            <w:vAlign w:val="center"/>
          </w:tcPr>
          <w:p w14:paraId="41C74C3B"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吴忠市交通运输局 </w:t>
            </w:r>
          </w:p>
        </w:tc>
        <w:tc>
          <w:tcPr>
            <w:tcW w:w="2763" w:type="dxa"/>
            <w:vAlign w:val="center"/>
          </w:tcPr>
          <w:p w14:paraId="15C439F2" w14:textId="77777777" w:rsidR="00193F81" w:rsidRDefault="00193F81" w:rsidP="00D54786">
            <w:pPr>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《公路水运工程质量监督管理规定》《交通运输部办公厅关于加强公路水运工程质量安全监督管理工作的指导意见》《交通运输部关于印发公路水运工程质量安全督查办法的通知》</w:t>
            </w:r>
          </w:p>
        </w:tc>
      </w:tr>
    </w:tbl>
    <w:p w14:paraId="25EF9B04" w14:textId="77777777" w:rsidR="004B0126" w:rsidRPr="00193F81" w:rsidRDefault="004B0126" w:rsidP="00193F81"/>
    <w:sectPr w:rsidR="004B0126" w:rsidRPr="00193F81" w:rsidSect="00193F8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923F" w14:textId="77777777" w:rsidR="00FE0584" w:rsidRDefault="00FE0584" w:rsidP="00193F81">
      <w:pPr>
        <w:rPr>
          <w:rFonts w:hint="eastAsia"/>
        </w:rPr>
      </w:pPr>
      <w:r>
        <w:separator/>
      </w:r>
    </w:p>
  </w:endnote>
  <w:endnote w:type="continuationSeparator" w:id="0">
    <w:p w14:paraId="729147DD" w14:textId="77777777" w:rsidR="00FE0584" w:rsidRDefault="00FE0584" w:rsidP="00193F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DFDCC" w14:textId="77777777" w:rsidR="00FE0584" w:rsidRDefault="00FE0584" w:rsidP="00193F81">
      <w:pPr>
        <w:rPr>
          <w:rFonts w:hint="eastAsia"/>
        </w:rPr>
      </w:pPr>
      <w:r>
        <w:separator/>
      </w:r>
    </w:p>
  </w:footnote>
  <w:footnote w:type="continuationSeparator" w:id="0">
    <w:p w14:paraId="345431FC" w14:textId="77777777" w:rsidR="00FE0584" w:rsidRDefault="00FE0584" w:rsidP="00193F8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26"/>
    <w:rsid w:val="00193F81"/>
    <w:rsid w:val="004B0126"/>
    <w:rsid w:val="0078265D"/>
    <w:rsid w:val="00FE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3E97ADF-42CE-4B12-AFDC-916317D3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93F81"/>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4B0126"/>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4B0126"/>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4B0126"/>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4B0126"/>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4B0126"/>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4B0126"/>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4B0126"/>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4B0126"/>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4B0126"/>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B0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4B0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4B0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4B0126"/>
    <w:rPr>
      <w:rFonts w:cstheme="majorBidi"/>
      <w:color w:val="2F5496" w:themeColor="accent1" w:themeShade="BF"/>
      <w:sz w:val="28"/>
      <w:szCs w:val="28"/>
    </w:rPr>
  </w:style>
  <w:style w:type="character" w:customStyle="1" w:styleId="50">
    <w:name w:val="标题 5 字符"/>
    <w:basedOn w:val="a1"/>
    <w:link w:val="5"/>
    <w:uiPriority w:val="9"/>
    <w:semiHidden/>
    <w:rsid w:val="004B0126"/>
    <w:rPr>
      <w:rFonts w:cstheme="majorBidi"/>
      <w:color w:val="2F5496" w:themeColor="accent1" w:themeShade="BF"/>
      <w:sz w:val="24"/>
    </w:rPr>
  </w:style>
  <w:style w:type="character" w:customStyle="1" w:styleId="60">
    <w:name w:val="标题 6 字符"/>
    <w:basedOn w:val="a1"/>
    <w:link w:val="6"/>
    <w:uiPriority w:val="9"/>
    <w:semiHidden/>
    <w:rsid w:val="004B0126"/>
    <w:rPr>
      <w:rFonts w:cstheme="majorBidi"/>
      <w:b/>
      <w:bCs/>
      <w:color w:val="2F5496" w:themeColor="accent1" w:themeShade="BF"/>
    </w:rPr>
  </w:style>
  <w:style w:type="character" w:customStyle="1" w:styleId="70">
    <w:name w:val="标题 7 字符"/>
    <w:basedOn w:val="a1"/>
    <w:link w:val="7"/>
    <w:uiPriority w:val="9"/>
    <w:semiHidden/>
    <w:rsid w:val="004B0126"/>
    <w:rPr>
      <w:rFonts w:cstheme="majorBidi"/>
      <w:b/>
      <w:bCs/>
      <w:color w:val="595959" w:themeColor="text1" w:themeTint="A6"/>
    </w:rPr>
  </w:style>
  <w:style w:type="character" w:customStyle="1" w:styleId="80">
    <w:name w:val="标题 8 字符"/>
    <w:basedOn w:val="a1"/>
    <w:link w:val="8"/>
    <w:uiPriority w:val="9"/>
    <w:semiHidden/>
    <w:rsid w:val="004B0126"/>
    <w:rPr>
      <w:rFonts w:cstheme="majorBidi"/>
      <w:color w:val="595959" w:themeColor="text1" w:themeTint="A6"/>
    </w:rPr>
  </w:style>
  <w:style w:type="character" w:customStyle="1" w:styleId="90">
    <w:name w:val="标题 9 字符"/>
    <w:basedOn w:val="a1"/>
    <w:link w:val="9"/>
    <w:uiPriority w:val="9"/>
    <w:semiHidden/>
    <w:rsid w:val="004B0126"/>
    <w:rPr>
      <w:rFonts w:eastAsiaTheme="majorEastAsia" w:cstheme="majorBidi"/>
      <w:color w:val="595959" w:themeColor="text1" w:themeTint="A6"/>
    </w:rPr>
  </w:style>
  <w:style w:type="paragraph" w:styleId="a4">
    <w:name w:val="Title"/>
    <w:basedOn w:val="a"/>
    <w:next w:val="a"/>
    <w:link w:val="a5"/>
    <w:uiPriority w:val="10"/>
    <w:qFormat/>
    <w:rsid w:val="004B012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4B012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B012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4B012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4B0126"/>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4B0126"/>
    <w:rPr>
      <w:i/>
      <w:iCs/>
      <w:color w:val="404040" w:themeColor="text1" w:themeTint="BF"/>
    </w:rPr>
  </w:style>
  <w:style w:type="paragraph" w:styleId="aa">
    <w:name w:val="List Paragraph"/>
    <w:basedOn w:val="a"/>
    <w:uiPriority w:val="34"/>
    <w:qFormat/>
    <w:rsid w:val="004B0126"/>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4B0126"/>
    <w:rPr>
      <w:i/>
      <w:iCs/>
      <w:color w:val="2F5496" w:themeColor="accent1" w:themeShade="BF"/>
    </w:rPr>
  </w:style>
  <w:style w:type="paragraph" w:styleId="ac">
    <w:name w:val="Intense Quote"/>
    <w:basedOn w:val="a"/>
    <w:next w:val="a"/>
    <w:link w:val="ad"/>
    <w:uiPriority w:val="30"/>
    <w:qFormat/>
    <w:rsid w:val="004B012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d">
    <w:name w:val="明显引用 字符"/>
    <w:basedOn w:val="a1"/>
    <w:link w:val="ac"/>
    <w:uiPriority w:val="30"/>
    <w:rsid w:val="004B0126"/>
    <w:rPr>
      <w:i/>
      <w:iCs/>
      <w:color w:val="2F5496" w:themeColor="accent1" w:themeShade="BF"/>
    </w:rPr>
  </w:style>
  <w:style w:type="character" w:styleId="ae">
    <w:name w:val="Intense Reference"/>
    <w:basedOn w:val="a1"/>
    <w:uiPriority w:val="32"/>
    <w:qFormat/>
    <w:rsid w:val="004B0126"/>
    <w:rPr>
      <w:b/>
      <w:bCs/>
      <w:smallCaps/>
      <w:color w:val="2F5496" w:themeColor="accent1" w:themeShade="BF"/>
      <w:spacing w:val="5"/>
    </w:rPr>
  </w:style>
  <w:style w:type="paragraph" w:styleId="af">
    <w:name w:val="header"/>
    <w:basedOn w:val="a"/>
    <w:link w:val="af0"/>
    <w:uiPriority w:val="99"/>
    <w:unhideWhenUsed/>
    <w:rsid w:val="00193F81"/>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193F81"/>
    <w:rPr>
      <w:sz w:val="18"/>
      <w:szCs w:val="18"/>
    </w:rPr>
  </w:style>
  <w:style w:type="paragraph" w:styleId="af1">
    <w:name w:val="footer"/>
    <w:basedOn w:val="a"/>
    <w:link w:val="af2"/>
    <w:uiPriority w:val="99"/>
    <w:unhideWhenUsed/>
    <w:rsid w:val="00193F81"/>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193F81"/>
    <w:rPr>
      <w:sz w:val="18"/>
      <w:szCs w:val="18"/>
    </w:rPr>
  </w:style>
  <w:style w:type="paragraph" w:styleId="a0">
    <w:name w:val="Normal Indent"/>
    <w:basedOn w:val="a"/>
    <w:uiPriority w:val="99"/>
    <w:semiHidden/>
    <w:unhideWhenUsed/>
    <w:rsid w:val="00193F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4102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25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540</Characters>
  <Application>Microsoft Office Word</Application>
  <DocSecurity>0</DocSecurity>
  <Lines>60</Lines>
  <Paragraphs>53</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国栋 魏</dc:creator>
  <cp:keywords/>
  <dc:description/>
  <cp:lastModifiedBy>国栋 魏</cp:lastModifiedBy>
  <cp:revision>2</cp:revision>
  <dcterms:created xsi:type="dcterms:W3CDTF">2025-05-06T09:31:00Z</dcterms:created>
  <dcterms:modified xsi:type="dcterms:W3CDTF">2025-05-06T09:32:00Z</dcterms:modified>
</cp:coreProperties>
</file>