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F26F9">
      <w:pPr>
        <w:keepNext w:val="0"/>
        <w:keepLines w:val="0"/>
        <w:pageBreakBefore w:val="0"/>
        <w:widowControl w:val="0"/>
        <w:kinsoku/>
        <w:wordWrap/>
        <w:overflowPunct/>
        <w:topLinePunct w:val="0"/>
        <w:autoSpaceDE/>
        <w:autoSpaceDN/>
        <w:bidi w:val="0"/>
        <w:adjustRightInd/>
        <w:snapToGrid/>
        <w:spacing w:after="2" w:line="440" w:lineRule="exact"/>
        <w:jc w:val="center"/>
        <w:textAlignment w:val="auto"/>
        <w:rPr>
          <w:rFonts w:hint="default" w:ascii="Times New Roman" w:hAnsi="Times New Roman" w:eastAsia="方正小标宋简体" w:cs="Times New Roman"/>
          <w:b w:val="0"/>
          <w:bCs w:val="0"/>
          <w:sz w:val="44"/>
          <w:szCs w:val="44"/>
          <w:highlight w:val="none"/>
        </w:rPr>
      </w:pPr>
      <w:bookmarkStart w:id="0" w:name="_GoBack"/>
      <w:r>
        <w:rPr>
          <w:rFonts w:hint="default" w:ascii="Times New Roman" w:hAnsi="Times New Roman" w:eastAsia="方正小标宋简体" w:cs="Times New Roman"/>
          <w:sz w:val="32"/>
          <w:szCs w:val="32"/>
        </w:rPr>
        <w:t>红寺堡柳泉330千伏升压站工程</w:t>
      </w:r>
      <w:bookmarkEnd w:id="0"/>
    </w:p>
    <w:p w14:paraId="7EC48437">
      <w:pPr>
        <w:keepNext w:val="0"/>
        <w:keepLines w:val="0"/>
        <w:pageBreakBefore w:val="0"/>
        <w:widowControl w:val="0"/>
        <w:kinsoku/>
        <w:wordWrap/>
        <w:overflowPunct/>
        <w:topLinePunct w:val="0"/>
        <w:autoSpaceDE/>
        <w:autoSpaceDN/>
        <w:bidi w:val="0"/>
        <w:adjustRightInd/>
        <w:snapToGrid w:val="0"/>
        <w:spacing w:line="440" w:lineRule="exact"/>
        <w:ind w:firstLine="641" w:firstLineChars="0"/>
        <w:jc w:val="left"/>
        <w:textAlignment w:val="auto"/>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000000"/>
          <w:spacing w:val="-6"/>
          <w:sz w:val="28"/>
          <w:szCs w:val="28"/>
          <w:lang w:val="en-US" w:eastAsia="zh-CN"/>
        </w:rPr>
        <w:t>一、</w:t>
      </w:r>
      <w:r>
        <w:rPr>
          <w:rFonts w:hint="eastAsia" w:ascii="仿宋_GB2312" w:hAnsi="仿宋_GB2312" w:eastAsia="仿宋_GB2312" w:cs="仿宋_GB2312"/>
          <w:color w:val="000000"/>
          <w:spacing w:val="-6"/>
          <w:sz w:val="28"/>
          <w:szCs w:val="28"/>
        </w:rPr>
        <w:t>项目位于宁夏回族自治区吴忠市红寺堡区柳泉乡境内</w:t>
      </w:r>
      <w:r>
        <w:rPr>
          <w:rFonts w:hint="eastAsia" w:ascii="仿宋_GB2312" w:hAnsi="仿宋_GB2312" w:eastAsia="仿宋_GB2312" w:cs="仿宋_GB2312"/>
          <w:color w:val="000000"/>
          <w:spacing w:val="-6"/>
          <w:sz w:val="28"/>
          <w:szCs w:val="28"/>
          <w:lang w:eastAsia="zh-CN"/>
        </w:rPr>
        <w:t>，</w:t>
      </w:r>
      <w:r>
        <w:rPr>
          <w:rFonts w:hint="eastAsia" w:ascii="仿宋_GB2312" w:hAnsi="仿宋_GB2312" w:eastAsia="仿宋_GB2312" w:cs="仿宋_GB2312"/>
          <w:color w:val="000000"/>
          <w:spacing w:val="-6"/>
          <w:sz w:val="28"/>
          <w:szCs w:val="28"/>
          <w:lang w:val="en-US" w:eastAsia="zh-CN"/>
        </w:rPr>
        <w:t>总占地面积23073平方米，主要建设</w:t>
      </w:r>
      <w:r>
        <w:rPr>
          <w:rFonts w:hint="eastAsia" w:ascii="仿宋_GB2312" w:hAnsi="仿宋_GB2312" w:eastAsia="仿宋_GB2312" w:cs="仿宋_GB2312"/>
          <w:color w:val="000000"/>
          <w:spacing w:val="-6"/>
          <w:sz w:val="28"/>
          <w:szCs w:val="28"/>
        </w:rPr>
        <w:t>1座330</w:t>
      </w:r>
      <w:r>
        <w:rPr>
          <w:rFonts w:hint="eastAsia" w:ascii="仿宋_GB2312" w:hAnsi="仿宋_GB2312" w:eastAsia="仿宋_GB2312" w:cs="仿宋_GB2312"/>
          <w:color w:val="000000"/>
          <w:spacing w:val="-6"/>
          <w:sz w:val="28"/>
          <w:szCs w:val="28"/>
          <w:lang w:val="en-US" w:eastAsia="zh-CN"/>
        </w:rPr>
        <w:t>千伏</w:t>
      </w:r>
      <w:r>
        <w:rPr>
          <w:rFonts w:hint="eastAsia" w:ascii="仿宋_GB2312" w:hAnsi="仿宋_GB2312" w:eastAsia="仿宋_GB2312" w:cs="仿宋_GB2312"/>
          <w:color w:val="000000"/>
          <w:spacing w:val="-6"/>
          <w:sz w:val="28"/>
          <w:szCs w:val="28"/>
        </w:rPr>
        <w:t>升压站，</w:t>
      </w:r>
      <w:r>
        <w:rPr>
          <w:rFonts w:hint="eastAsia" w:ascii="仿宋_GB2312" w:hAnsi="仿宋_GB2312" w:eastAsia="仿宋_GB2312" w:cs="仿宋_GB2312"/>
          <w:color w:val="000000"/>
          <w:spacing w:val="-6"/>
          <w:sz w:val="28"/>
          <w:szCs w:val="28"/>
          <w:lang w:val="en-US" w:eastAsia="zh-CN"/>
        </w:rPr>
        <w:t>2台</w:t>
      </w:r>
      <w:r>
        <w:rPr>
          <w:rFonts w:hint="eastAsia" w:ascii="仿宋_GB2312" w:hAnsi="仿宋_GB2312" w:eastAsia="仿宋_GB2312" w:cs="仿宋_GB2312"/>
          <w:color w:val="000000"/>
          <w:spacing w:val="-6"/>
          <w:sz w:val="28"/>
          <w:szCs w:val="28"/>
        </w:rPr>
        <w:t>36万</w:t>
      </w:r>
      <w:r>
        <w:rPr>
          <w:rFonts w:hint="eastAsia" w:ascii="仿宋_GB2312" w:hAnsi="仿宋_GB2312" w:eastAsia="仿宋_GB2312" w:cs="仿宋_GB2312"/>
          <w:color w:val="000000"/>
          <w:spacing w:val="-6"/>
          <w:sz w:val="28"/>
          <w:szCs w:val="28"/>
          <w:lang w:val="en-US" w:eastAsia="zh-CN"/>
        </w:rPr>
        <w:t>千伏安</w:t>
      </w:r>
      <w:r>
        <w:rPr>
          <w:rFonts w:hint="eastAsia" w:ascii="仿宋_GB2312" w:hAnsi="仿宋_GB2312" w:eastAsia="仿宋_GB2312" w:cs="仿宋_GB2312"/>
          <w:color w:val="000000"/>
          <w:spacing w:val="-6"/>
          <w:sz w:val="28"/>
          <w:szCs w:val="28"/>
        </w:rPr>
        <w:t>主变</w:t>
      </w:r>
      <w:r>
        <w:rPr>
          <w:rFonts w:hint="eastAsia" w:ascii="仿宋_GB2312" w:hAnsi="仿宋_GB2312" w:eastAsia="仿宋_GB2312" w:cs="仿宋_GB2312"/>
          <w:color w:val="000000"/>
          <w:spacing w:val="-6"/>
          <w:sz w:val="28"/>
          <w:szCs w:val="28"/>
          <w:lang w:val="en-US" w:eastAsia="zh-CN"/>
        </w:rPr>
        <w:t>压器</w:t>
      </w:r>
      <w:r>
        <w:rPr>
          <w:rFonts w:hint="eastAsia" w:ascii="仿宋_GB2312" w:hAnsi="仿宋_GB2312" w:eastAsia="仿宋_GB2312" w:cs="仿宋_GB2312"/>
          <w:color w:val="000000"/>
          <w:spacing w:val="-6"/>
          <w:sz w:val="28"/>
          <w:szCs w:val="28"/>
        </w:rPr>
        <w:t>，</w:t>
      </w:r>
      <w:r>
        <w:rPr>
          <w:rFonts w:hint="eastAsia" w:ascii="仿宋_GB2312" w:hAnsi="仿宋_GB2312" w:eastAsia="仿宋_GB2312" w:cs="仿宋_GB2312"/>
          <w:color w:val="000000"/>
          <w:spacing w:val="-6"/>
          <w:sz w:val="28"/>
          <w:szCs w:val="28"/>
          <w:lang w:val="en-US" w:eastAsia="zh-CN"/>
        </w:rPr>
        <w:t>配套</w:t>
      </w:r>
      <w:r>
        <w:rPr>
          <w:rFonts w:hint="eastAsia" w:ascii="仿宋_GB2312" w:hAnsi="仿宋_GB2312" w:eastAsia="仿宋_GB2312" w:cs="仿宋_GB2312"/>
          <w:color w:val="000000"/>
          <w:spacing w:val="-6"/>
          <w:sz w:val="28"/>
          <w:szCs w:val="28"/>
        </w:rPr>
        <w:t>无功补偿装置及二次系统</w:t>
      </w:r>
      <w:r>
        <w:rPr>
          <w:rFonts w:hint="eastAsia" w:ascii="仿宋_GB2312" w:hAnsi="仿宋_GB2312" w:eastAsia="仿宋_GB2312" w:cs="仿宋_GB2312"/>
          <w:color w:val="000000"/>
          <w:spacing w:val="-6"/>
          <w:sz w:val="28"/>
          <w:szCs w:val="28"/>
          <w:lang w:eastAsia="zh-CN"/>
        </w:rPr>
        <w:t>，</w:t>
      </w:r>
      <w:r>
        <w:rPr>
          <w:rFonts w:hint="eastAsia" w:ascii="仿宋_GB2312" w:hAnsi="仿宋_GB2312" w:eastAsia="仿宋_GB2312" w:cs="仿宋_GB2312"/>
          <w:color w:val="000000"/>
          <w:spacing w:val="-6"/>
          <w:sz w:val="28"/>
          <w:szCs w:val="28"/>
          <w:lang w:val="en-US" w:eastAsia="zh-CN"/>
        </w:rPr>
        <w:t>配套公辅、环保设施等，总投资17537万元，环保投资245万元，占总投资的1.40%。</w:t>
      </w:r>
    </w:p>
    <w:p w14:paraId="036CD1E3">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二、由</w:t>
      </w:r>
      <w:r>
        <w:rPr>
          <w:rFonts w:hint="eastAsia" w:ascii="仿宋_GB2312" w:hAnsi="仿宋_GB2312" w:eastAsia="仿宋_GB2312" w:cs="仿宋_GB2312"/>
          <w:sz w:val="28"/>
          <w:szCs w:val="28"/>
          <w:highlight w:val="none"/>
          <w:lang w:val="en-US" w:eastAsia="zh-CN"/>
        </w:rPr>
        <w:t>宁夏绿源恒森安环（宁夏）科技有限公司</w:t>
      </w:r>
      <w:r>
        <w:rPr>
          <w:rFonts w:hint="eastAsia" w:ascii="仿宋_GB2312" w:hAnsi="仿宋_GB2312" w:eastAsia="仿宋_GB2312" w:cs="仿宋_GB2312"/>
          <w:color w:val="auto"/>
          <w:sz w:val="28"/>
          <w:szCs w:val="28"/>
          <w:highlight w:val="none"/>
        </w:rPr>
        <w:t>编制的《</w:t>
      </w:r>
      <w:r>
        <w:rPr>
          <w:rFonts w:hint="eastAsia" w:ascii="仿宋_GB2312" w:hAnsi="仿宋_GB2312" w:eastAsia="仿宋_GB2312" w:cs="仿宋_GB2312"/>
          <w:sz w:val="28"/>
          <w:szCs w:val="28"/>
          <w:highlight w:val="none"/>
        </w:rPr>
        <w:t>报告</w:t>
      </w:r>
      <w:r>
        <w:rPr>
          <w:rFonts w:hint="eastAsia" w:ascii="仿宋_GB2312" w:hAnsi="仿宋_GB2312" w:eastAsia="仿宋_GB2312" w:cs="仿宋_GB2312"/>
          <w:sz w:val="28"/>
          <w:szCs w:val="28"/>
          <w:highlight w:val="none"/>
          <w:lang w:val="en-US" w:eastAsia="zh-CN"/>
        </w:rPr>
        <w:t>表</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rPr>
        <w:t>内容基本完整，评价结论科学，在全面落实《</w:t>
      </w:r>
      <w:r>
        <w:rPr>
          <w:rFonts w:hint="eastAsia" w:ascii="仿宋_GB2312" w:hAnsi="仿宋_GB2312" w:eastAsia="仿宋_GB2312" w:cs="仿宋_GB2312"/>
          <w:color w:val="auto"/>
          <w:sz w:val="28"/>
          <w:szCs w:val="28"/>
          <w:lang w:eastAsia="zh-CN"/>
        </w:rPr>
        <w:t>报告表</w:t>
      </w:r>
      <w:r>
        <w:rPr>
          <w:rFonts w:hint="eastAsia" w:ascii="仿宋_GB2312" w:hAnsi="仿宋_GB2312" w:eastAsia="仿宋_GB2312" w:cs="仿宋_GB2312"/>
          <w:color w:val="auto"/>
          <w:sz w:val="28"/>
          <w:szCs w:val="28"/>
        </w:rPr>
        <w:t>》提出的各项污染防治措施及投资前提下，环境不利影响能够得到一定的缓解和控制，可作为本项目环境管理的基本依据。</w:t>
      </w:r>
    </w:p>
    <w:p w14:paraId="242EE155">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三、项目施工、运营期应重点做好以下工作：</w:t>
      </w:r>
    </w:p>
    <w:p w14:paraId="49958EDA">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（一）施工期污染防治措施</w:t>
      </w:r>
    </w:p>
    <w:p w14:paraId="48248AE0">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项目施工期严格按照《报</w:t>
      </w:r>
      <w:r>
        <w:rPr>
          <w:rFonts w:hint="eastAsia" w:ascii="仿宋_GB2312" w:hAnsi="仿宋_GB2312" w:eastAsia="仿宋_GB2312" w:cs="仿宋_GB2312"/>
          <w:color w:val="auto"/>
          <w:kern w:val="2"/>
          <w:sz w:val="28"/>
          <w:szCs w:val="28"/>
          <w:highlight w:val="none"/>
          <w:lang w:val="en-US" w:eastAsia="zh-CN" w:bidi="ar-SA"/>
        </w:rPr>
        <w:t>告表》</w:t>
      </w:r>
      <w:r>
        <w:rPr>
          <w:rFonts w:hint="eastAsia" w:ascii="仿宋_GB2312" w:hAnsi="仿宋_GB2312" w:eastAsia="仿宋_GB2312" w:cs="仿宋_GB2312"/>
          <w:color w:val="auto"/>
          <w:kern w:val="2"/>
          <w:sz w:val="28"/>
          <w:szCs w:val="28"/>
          <w:lang w:val="en-US" w:eastAsia="zh-CN" w:bidi="ar-SA"/>
        </w:rPr>
        <w:t>要求落实噪声、扬尘、废水、固体废物等各项污染物防治措施，加强施工期环境管理，合理安排施工时间，减少施工期噪声、扬尘、废水、固废污染。</w:t>
      </w:r>
    </w:p>
    <w:p w14:paraId="5F6DE9DE">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（二）施工期生态环境保护措施</w:t>
      </w:r>
    </w:p>
    <w:p w14:paraId="7EE3045F">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合理规划施工区域，严格控制占地范围，减少土石方挖填量和地表扰动面积。工程施工完毕后应及时平整土地，清理施工现场，按照原土层顺序分层回填剥离的表土，及时进行植被恢复，升压站内未被利用场地地表被硬化、碎石覆盖。</w:t>
      </w:r>
    </w:p>
    <w:p w14:paraId="1DA43E31">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（三）运营期电磁污染防治措施</w:t>
      </w:r>
    </w:p>
    <w:p w14:paraId="3F62CDE0">
      <w:pPr>
        <w:keepNext w:val="0"/>
        <w:keepLines w:val="0"/>
        <w:pageBreakBefore w:val="0"/>
        <w:widowControl w:val="0"/>
        <w:kinsoku/>
        <w:wordWrap/>
        <w:overflowPunct/>
        <w:topLinePunct w:val="0"/>
        <w:autoSpaceDE/>
        <w:autoSpaceDN/>
        <w:bidi w:val="0"/>
        <w:spacing w:after="0" w:line="440" w:lineRule="exact"/>
        <w:ind w:left="0" w:leftChars="0" w:firstLine="641"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加强对运营期工频电场、工频磁场的监测工作。本项目运行后，升压站工频电场强度、工频磁感应强度满足《电磁环境控制限值》（GB8702-2014）规定的工频电场强度4000V/m的公众曝露控制限值、工频磁感应强度100μT的公众曝露控制限值。</w:t>
      </w:r>
    </w:p>
    <w:p w14:paraId="7F03B6DB">
      <w:pPr>
        <w:keepNext w:val="0"/>
        <w:keepLines w:val="0"/>
        <w:pageBreakBefore w:val="0"/>
        <w:widowControl w:val="0"/>
        <w:kinsoku/>
        <w:wordWrap/>
        <w:overflowPunct/>
        <w:topLinePunct w:val="0"/>
        <w:autoSpaceDE/>
        <w:autoSpaceDN/>
        <w:bidi w:val="0"/>
        <w:spacing w:after="0" w:line="440" w:lineRule="exact"/>
        <w:ind w:left="0" w:leftChars="0"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（四）运营期噪声污染防治措施</w:t>
      </w:r>
    </w:p>
    <w:p w14:paraId="5976F89B">
      <w:pPr>
        <w:keepNext w:val="0"/>
        <w:keepLines w:val="0"/>
        <w:pageBreakBefore w:val="0"/>
        <w:widowControl w:val="0"/>
        <w:kinsoku/>
        <w:wordWrap/>
        <w:overflowPunct/>
        <w:topLinePunct w:val="0"/>
        <w:autoSpaceDE/>
        <w:autoSpaceDN/>
        <w:bidi w:val="0"/>
        <w:spacing w:after="0" w:line="440" w:lineRule="exact"/>
        <w:ind w:left="0" w:leftChars="0" w:firstLine="641" w:firstLine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项目运行期，升压站昼间、夜间贡献值满足《声环境质量标准》（GB3096-2008）2类区标准要求。</w:t>
      </w:r>
    </w:p>
    <w:p w14:paraId="0A896877">
      <w:pPr>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（五）运营期水污染防治措施</w:t>
      </w:r>
    </w:p>
    <w:p w14:paraId="15ED78AD">
      <w:pPr>
        <w:keepNext w:val="0"/>
        <w:keepLines w:val="0"/>
        <w:pageBreakBefore w:val="0"/>
        <w:widowControl w:val="0"/>
        <w:kinsoku/>
        <w:wordWrap/>
        <w:overflowPunct/>
        <w:topLinePunct w:val="0"/>
        <w:autoSpaceDE/>
        <w:autoSpaceDN/>
        <w:bidi w:val="0"/>
        <w:spacing w:line="440" w:lineRule="exact"/>
        <w:ind w:firstLine="641" w:firstLineChars="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项目废水主要为生活污水，经化粪池收集后暂存于污水收集池内，定期由吸粪车拉运至柳泉乡柳泉村生活污水处理站进行处理。</w:t>
      </w:r>
    </w:p>
    <w:p w14:paraId="3B95BE17">
      <w:pPr>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（六）运营期固体废物污染防治措施</w:t>
      </w:r>
    </w:p>
    <w:p w14:paraId="7F420851">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危险废物废润滑油（HW08 900-217-08）、废铅酸蓄电池（HW31 900-052-31）、废变压器油（HW08 900-220-08）、废含油抹布，暂存于危废暂存间，按照危废管理要求，办理危废转移手续后，交由有资质单位处置</w:t>
      </w:r>
      <w:r>
        <w:rPr>
          <w:rFonts w:hint="eastAsia" w:ascii="仿宋_GB2312" w:hAnsi="仿宋_GB2312" w:eastAsia="仿宋_GB2312" w:cs="仿宋_GB2312"/>
          <w:color w:val="auto"/>
          <w:sz w:val="28"/>
          <w:szCs w:val="28"/>
          <w:lang w:val="en-US" w:eastAsia="zh-CN"/>
        </w:rPr>
        <w:t>。生活垃圾经升压站内设置垃圾箱收集后运至当地垃圾收集站由环卫部门统一清运处置。</w:t>
      </w:r>
    </w:p>
    <w:p w14:paraId="7D232F68">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4"/>
          <w:szCs w:val="24"/>
          <w:lang w:val="en-US" w:eastAsia="zh-CN" w:bidi="ar-SA"/>
        </w:rPr>
      </w:pPr>
      <w:r>
        <w:rPr>
          <w:rFonts w:hint="eastAsia" w:ascii="仿宋_GB2312" w:hAnsi="仿宋_GB2312" w:eastAsia="仿宋_GB2312" w:cs="仿宋_GB2312"/>
          <w:color w:val="auto"/>
          <w:kern w:val="2"/>
          <w:sz w:val="28"/>
          <w:szCs w:val="28"/>
          <w:lang w:val="en-US" w:eastAsia="zh-CN" w:bidi="ar-SA"/>
        </w:rPr>
        <w:t>（七）</w:t>
      </w:r>
      <w:r>
        <w:rPr>
          <w:rFonts w:hint="eastAsia" w:ascii="仿宋_GB2312" w:hAnsi="仿宋_GB2312" w:eastAsia="仿宋_GB2312" w:cs="仿宋_GB2312"/>
          <w:color w:val="auto"/>
          <w:sz w:val="28"/>
          <w:szCs w:val="28"/>
        </w:rPr>
        <w:t>根据相关规范落实环保设施安全生产要求，并委托有相应资质的单位开展设计与施工。</w:t>
      </w:r>
      <w:r>
        <w:rPr>
          <w:rFonts w:hint="eastAsia" w:ascii="仿宋_GB2312" w:hAnsi="仿宋_GB2312" w:eastAsia="仿宋_GB2312" w:cs="仿宋_GB2312"/>
          <w:color w:val="auto"/>
          <w:sz w:val="28"/>
          <w:szCs w:val="28"/>
          <w:lang w:val="en-US" w:eastAsia="zh-CN"/>
        </w:rPr>
        <w:t>建立健全环境管理制度和环保岗位责任制，制定企业环境保护计划，加强项目施工期环境管理，落实环保措施，保护项目区域生态环境。运营期按照监测计划，定期进行环境监测。</w:t>
      </w:r>
    </w:p>
    <w:p w14:paraId="2E229B07">
      <w:pPr>
        <w:pStyle w:val="5"/>
        <w:numPr>
          <w:ilvl w:val="0"/>
          <w:numId w:val="0"/>
        </w:numPr>
      </w:pPr>
    </w:p>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A12B8"/>
    <w:rsid w:val="05363944"/>
    <w:rsid w:val="0DE505F0"/>
    <w:rsid w:val="15FC213B"/>
    <w:rsid w:val="1BBE0A14"/>
    <w:rsid w:val="41FA12B8"/>
    <w:rsid w:val="4717119C"/>
    <w:rsid w:val="5F6C789E"/>
    <w:rsid w:val="613F5C31"/>
    <w:rsid w:val="756C586D"/>
    <w:rsid w:val="768E4231"/>
    <w:rsid w:val="78746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spacing w:before="50" w:beforeLines="50" w:line="240" w:lineRule="auto"/>
      <w:ind w:firstLine="0" w:firstLineChars="0"/>
      <w:jc w:val="center"/>
    </w:pPr>
    <w:rPr>
      <w:b/>
      <w:szCs w:val="20"/>
    </w:rPr>
  </w:style>
  <w:style w:type="paragraph" w:styleId="3">
    <w:name w:val="Body Text"/>
    <w:basedOn w:val="1"/>
    <w:qFormat/>
    <w:uiPriority w:val="0"/>
    <w:pPr>
      <w:spacing w:line="520" w:lineRule="exact"/>
      <w:ind w:firstLine="200" w:firstLineChars="200"/>
    </w:pPr>
    <w:rPr>
      <w:sz w:val="28"/>
    </w:rPr>
  </w:style>
  <w:style w:type="paragraph" w:styleId="4">
    <w:name w:val="Body Text Indent"/>
    <w:basedOn w:val="1"/>
    <w:next w:val="5"/>
    <w:qFormat/>
    <w:uiPriority w:val="99"/>
    <w:pPr>
      <w:ind w:left="1083" w:leftChars="30" w:hanging="1020" w:hangingChars="425"/>
    </w:pPr>
    <w:rPr>
      <w:rFonts w:hAnsi="宋体"/>
    </w:rPr>
  </w:style>
  <w:style w:type="paragraph" w:styleId="5">
    <w:name w:val="Body Text First Indent 2"/>
    <w:basedOn w:val="4"/>
    <w:next w:val="1"/>
    <w:qFormat/>
    <w:uiPriority w:val="0"/>
    <w:pPr>
      <w:spacing w:after="120"/>
      <w:ind w:left="200" w:leftChars="200" w:firstLine="200" w:firstLineChars="200"/>
    </w:pPr>
    <w:rPr>
      <w:rFonts w:ascii="Calibri" w:hAnsi="Calibri" w:eastAsia="宋体" w:cs="Times New Roman"/>
      <w:sz w:val="21"/>
      <w:szCs w:val="21"/>
    </w:rPr>
  </w:style>
  <w:style w:type="paragraph" w:customStyle="1" w:styleId="8">
    <w:name w:val="样式 正文文本缩进 + 行距: 1.5 倍行距"/>
    <w:basedOn w:val="1"/>
    <w:qFormat/>
    <w:uiPriority w:val="0"/>
    <w:pPr>
      <w:spacing w:after="120"/>
      <w:ind w:left="90" w:leftChars="32" w:firstLine="560"/>
    </w:pPr>
    <w:rPr>
      <w:rFonts w:cs="宋体"/>
    </w:rPr>
  </w:style>
  <w:style w:type="paragraph" w:customStyle="1" w:styleId="9">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1318</Words>
  <Characters>1425</Characters>
  <Lines>0</Lines>
  <Paragraphs>0</Paragraphs>
  <TotalTime>0</TotalTime>
  <ScaleCrop>false</ScaleCrop>
  <LinksUpToDate>false</LinksUpToDate>
  <CharactersWithSpaces>1427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2026-01-23T06:32:00Z</dcterms:created>
  <dc:creator>白岑</dc:creator>
  <cp:lastModifiedBy>明月</cp:lastModifiedBy>
  <dcterms:modified xsi:type="dcterms:W3CDTF">2026-03-19T04:07:36Z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1A4D7D16339D4CD39923B420B5492F25_13</vt:lpwstr>
  </property>
  <property fmtid="{D5CDD505-2E9C-101B-9397-08002B2CF9AE}" pid="4" name="KSOTemplateDocerSaveRecord">
    <vt:lpwstr>eyJoZGlkIjoiM2ZjNjYyNmQzMjMxZDc2ZWRmMzJmZDliYzY3NWI5MTQiLCJ1c2VySWQiOiIxMTMzMTI1Nzg4In0=</vt:lpwstr>
  </property>
</Properties>
</file>