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E87250">
      <w:pPr>
        <w:spacing w:line="600" w:lineRule="exact"/>
        <w:jc w:val="center"/>
        <w:rPr>
          <w:rFonts w:ascii="仿宋_GB2312" w:eastAsia="仿宋_GB2312"/>
          <w:sz w:val="32"/>
          <w:szCs w:val="32"/>
        </w:rPr>
      </w:pPr>
    </w:p>
    <w:p w:rsidR="004F2A03" w:rsidRDefault="004F2A03" w:rsidP="000343D0">
      <w:pPr>
        <w:jc w:val="center"/>
        <w:rPr>
          <w:rFonts w:ascii="仿宋_GB2312" w:eastAsia="仿宋_GB2312"/>
          <w:sz w:val="32"/>
          <w:szCs w:val="32"/>
        </w:rPr>
      </w:pPr>
      <w:r>
        <w:rPr>
          <w:rFonts w:ascii="仿宋_GB2312" w:eastAsia="仿宋_GB2312" w:hint="eastAsia"/>
          <w:sz w:val="32"/>
          <w:szCs w:val="32"/>
        </w:rPr>
        <w:t>吴安监发〔</w:t>
      </w:r>
      <w:r>
        <w:rPr>
          <w:rFonts w:ascii="仿宋_GB2312" w:eastAsia="仿宋_GB2312"/>
          <w:sz w:val="32"/>
          <w:szCs w:val="32"/>
        </w:rPr>
        <w:t>2018</w:t>
      </w:r>
      <w:r>
        <w:rPr>
          <w:rFonts w:ascii="仿宋_GB2312" w:eastAsia="仿宋_GB2312" w:hint="eastAsia"/>
          <w:sz w:val="32"/>
          <w:szCs w:val="32"/>
        </w:rPr>
        <w:t>〕</w:t>
      </w:r>
      <w:r>
        <w:rPr>
          <w:rFonts w:ascii="仿宋_GB2312" w:eastAsia="仿宋_GB2312"/>
          <w:sz w:val="32"/>
          <w:szCs w:val="32"/>
        </w:rPr>
        <w:t>9</w:t>
      </w:r>
      <w:r>
        <w:rPr>
          <w:rFonts w:ascii="仿宋_GB2312" w:eastAsia="仿宋_GB2312" w:hint="eastAsia"/>
          <w:sz w:val="32"/>
          <w:szCs w:val="32"/>
        </w:rPr>
        <w:t>号</w:t>
      </w:r>
    </w:p>
    <w:p w:rsidR="004F2A03" w:rsidRDefault="004F2A03">
      <w:pPr>
        <w:rPr>
          <w:rFonts w:ascii="仿宋_GB2312" w:eastAsia="仿宋_GB2312" w:hAnsi="仿宋_GB2312" w:cs="仿宋_GB2312"/>
          <w:sz w:val="32"/>
          <w:szCs w:val="32"/>
        </w:rPr>
      </w:pPr>
    </w:p>
    <w:p w:rsidR="004F2A03" w:rsidRPr="00AD72B6" w:rsidRDefault="004F2A03" w:rsidP="00AD72B6">
      <w:pPr>
        <w:spacing w:line="580" w:lineRule="exact"/>
        <w:jc w:val="center"/>
        <w:rPr>
          <w:rFonts w:ascii="方正小标宋简体" w:eastAsia="方正小标宋简体" w:hAnsi="黑体" w:cs="黑体"/>
          <w:bCs/>
          <w:sz w:val="44"/>
          <w:szCs w:val="44"/>
        </w:rPr>
      </w:pPr>
      <w:r w:rsidRPr="00AD72B6">
        <w:rPr>
          <w:rFonts w:ascii="方正小标宋简体" w:eastAsia="方正小标宋简体" w:hAnsi="黑体" w:cs="黑体" w:hint="eastAsia"/>
          <w:bCs/>
          <w:sz w:val="44"/>
          <w:szCs w:val="44"/>
        </w:rPr>
        <w:t>关于切实加强工贸企业建设项目安全设施</w:t>
      </w:r>
    </w:p>
    <w:p w:rsidR="004F2A03" w:rsidRDefault="004F2A03" w:rsidP="00AD72B6">
      <w:pPr>
        <w:spacing w:line="580" w:lineRule="exact"/>
        <w:jc w:val="center"/>
        <w:rPr>
          <w:rFonts w:ascii="方正小标宋简体" w:eastAsia="方正小标宋简体" w:hAnsi="黑体" w:cs="黑体"/>
          <w:bCs/>
          <w:sz w:val="44"/>
          <w:szCs w:val="44"/>
        </w:rPr>
      </w:pPr>
      <w:r w:rsidRPr="00AD72B6">
        <w:rPr>
          <w:rFonts w:ascii="方正小标宋简体" w:eastAsia="方正小标宋简体" w:hAnsi="黑体" w:cs="黑体" w:hint="eastAsia"/>
          <w:bCs/>
          <w:sz w:val="44"/>
          <w:szCs w:val="44"/>
        </w:rPr>
        <w:t>和职业病防护设施“三同时”</w:t>
      </w:r>
    </w:p>
    <w:p w:rsidR="004F2A03" w:rsidRPr="00AD72B6" w:rsidRDefault="004F2A03" w:rsidP="00AD72B6">
      <w:pPr>
        <w:spacing w:line="580" w:lineRule="exact"/>
        <w:jc w:val="center"/>
        <w:rPr>
          <w:rFonts w:ascii="方正小标宋简体" w:eastAsia="方正小标宋简体" w:hAnsi="黑体" w:cs="黑体"/>
          <w:bCs/>
          <w:sz w:val="44"/>
          <w:szCs w:val="44"/>
        </w:rPr>
      </w:pPr>
      <w:r w:rsidRPr="00AD72B6">
        <w:rPr>
          <w:rFonts w:ascii="方正小标宋简体" w:eastAsia="方正小标宋简体" w:hAnsi="黑体" w:cs="黑体" w:hint="eastAsia"/>
          <w:bCs/>
          <w:sz w:val="44"/>
          <w:szCs w:val="44"/>
        </w:rPr>
        <w:t>工作的通知</w:t>
      </w:r>
    </w:p>
    <w:p w:rsidR="004F2A03" w:rsidRDefault="004F2A03">
      <w:pPr>
        <w:rPr>
          <w:rFonts w:ascii="仿宋_GB2312" w:eastAsia="仿宋_GB2312"/>
          <w:sz w:val="32"/>
          <w:szCs w:val="32"/>
        </w:rPr>
      </w:pPr>
    </w:p>
    <w:p w:rsidR="004F2A03" w:rsidRDefault="004F2A03" w:rsidP="00ED32AC">
      <w:pPr>
        <w:spacing w:line="570" w:lineRule="exact"/>
        <w:rPr>
          <w:rFonts w:ascii="仿宋_GB2312" w:eastAsia="仿宋_GB2312"/>
          <w:sz w:val="32"/>
          <w:szCs w:val="32"/>
        </w:rPr>
      </w:pPr>
      <w:r>
        <w:rPr>
          <w:rFonts w:ascii="仿宋_GB2312" w:eastAsia="仿宋_GB2312" w:hint="eastAsia"/>
          <w:sz w:val="32"/>
          <w:szCs w:val="32"/>
        </w:rPr>
        <w:t>各县（市、区）安监局、工业园区安监部：</w:t>
      </w:r>
      <w:r>
        <w:rPr>
          <w:rFonts w:ascii="仿宋_GB2312" w:eastAsia="仿宋_GB2312"/>
          <w:sz w:val="32"/>
          <w:szCs w:val="32"/>
        </w:rPr>
        <w:t xml:space="preserve"> </w:t>
      </w:r>
    </w:p>
    <w:p w:rsidR="004F2A03" w:rsidRDefault="004F2A03" w:rsidP="00ED32AC">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加强冶金、有色、建材、机械、轻工、纺织、烟草等行业企业（以下简称工贸行业）新建、改建、扩建生产建设项目安全设施和职业病防护设施“三同时”工作的监管，严把源头关口，规范企业安全生产管理行为，消除安全隐患，防范事故发生，根据《建设项目安全设施“三同时”监督管理办法》（国家安全监管总局令第</w:t>
      </w:r>
      <w:r>
        <w:rPr>
          <w:rFonts w:ascii="仿宋_GB2312" w:eastAsia="仿宋_GB2312" w:hAnsi="仿宋_GB2312" w:cs="仿宋_GB2312"/>
          <w:sz w:val="32"/>
          <w:szCs w:val="32"/>
        </w:rPr>
        <w:t>36</w:t>
      </w:r>
      <w:r>
        <w:rPr>
          <w:rFonts w:ascii="仿宋_GB2312" w:eastAsia="仿宋_GB2312" w:hAnsi="仿宋_GB2312" w:cs="仿宋_GB2312" w:hint="eastAsia"/>
          <w:sz w:val="32"/>
          <w:szCs w:val="32"/>
        </w:rPr>
        <w:t>号）、《建设项目职业病防护设施“三同时”监督管理办法》（国家安全监管总局令第</w:t>
      </w:r>
      <w:r>
        <w:rPr>
          <w:rFonts w:ascii="仿宋_GB2312" w:eastAsia="仿宋_GB2312" w:hAnsi="仿宋_GB2312" w:cs="仿宋_GB2312"/>
          <w:sz w:val="32"/>
          <w:szCs w:val="32"/>
        </w:rPr>
        <w:t>90</w:t>
      </w:r>
      <w:r>
        <w:rPr>
          <w:rFonts w:ascii="仿宋_GB2312" w:eastAsia="仿宋_GB2312" w:hAnsi="仿宋_GB2312" w:cs="仿宋_GB2312" w:hint="eastAsia"/>
          <w:sz w:val="32"/>
          <w:szCs w:val="32"/>
        </w:rPr>
        <w:t>号）有关规定，结合我市实际，现就进一步做好工贸企业建设项目安全设施和职业病防护设施“三同时”工作有关要求通知如下：</w:t>
      </w:r>
    </w:p>
    <w:p w:rsidR="004F2A03" w:rsidRPr="00A0378B" w:rsidRDefault="004F2A03" w:rsidP="00A0378B">
      <w:pPr>
        <w:pStyle w:val="NormalWeb"/>
        <w:widowControl/>
        <w:spacing w:beforeAutospacing="0" w:afterAutospacing="0" w:line="570" w:lineRule="exact"/>
        <w:ind w:firstLineChars="200" w:firstLine="31680"/>
        <w:rPr>
          <w:rFonts w:ascii="黑体" w:eastAsia="黑体" w:hAnsi="黑体" w:cs="仿宋_GB2312"/>
          <w:bCs/>
          <w:color w:val="111111"/>
          <w:sz w:val="32"/>
          <w:szCs w:val="32"/>
        </w:rPr>
      </w:pPr>
      <w:r w:rsidRPr="00A0378B">
        <w:rPr>
          <w:rFonts w:ascii="黑体" w:eastAsia="黑体" w:hAnsi="黑体" w:cs="仿宋_GB2312" w:hint="eastAsia"/>
          <w:bCs/>
          <w:color w:val="111111"/>
          <w:sz w:val="32"/>
          <w:szCs w:val="32"/>
        </w:rPr>
        <w:t>一、统一思想，提高认识</w:t>
      </w:r>
    </w:p>
    <w:p w:rsidR="004F2A03" w:rsidRDefault="004F2A03" w:rsidP="00ED32AC">
      <w:pPr>
        <w:pStyle w:val="NormalWeb"/>
        <w:widowControl/>
        <w:spacing w:beforeAutospacing="0" w:afterAutospacing="0" w:line="570" w:lineRule="exact"/>
        <w:rPr>
          <w:rFonts w:ascii="仿宋_GB2312" w:eastAsia="仿宋_GB2312" w:hAnsi="仿宋_GB2312" w:cs="仿宋_GB2312"/>
          <w:color w:val="111111"/>
          <w:sz w:val="32"/>
          <w:szCs w:val="32"/>
        </w:rPr>
      </w:pPr>
      <w:r>
        <w:rPr>
          <w:rFonts w:ascii="仿宋_GB2312" w:eastAsia="仿宋_GB2312" w:hAnsi="仿宋_GB2312" w:cs="仿宋_GB2312" w:hint="eastAsia"/>
          <w:color w:val="111111"/>
          <w:sz w:val="32"/>
          <w:szCs w:val="32"/>
        </w:rPr>
        <w:t xml:space="preserve">　　</w:t>
      </w:r>
      <w:r>
        <w:rPr>
          <w:rFonts w:ascii="仿宋_GB2312" w:eastAsia="仿宋_GB2312" w:hAnsi="仿宋_GB2312" w:cs="仿宋_GB2312" w:hint="eastAsia"/>
          <w:color w:val="3D3D3D"/>
          <w:sz w:val="32"/>
          <w:szCs w:val="32"/>
          <w:shd w:val="clear" w:color="auto" w:fill="FFFFFF"/>
        </w:rPr>
        <w:t>建设项目安全设施和职业病防护设施“三同时”是从源头上预防、控制和消除事故隐患、职业病危害的一项重要法律制度，也是保障劳动者职业健康安全权益的有效手段。近年来，各</w:t>
      </w:r>
      <w:r>
        <w:rPr>
          <w:rFonts w:ascii="仿宋_GB2312" w:eastAsia="仿宋_GB2312" w:hAnsi="仿宋_GB2312" w:cs="仿宋_GB2312" w:hint="eastAsia"/>
          <w:sz w:val="32"/>
          <w:szCs w:val="32"/>
        </w:rPr>
        <w:t>县（市、区）、工业园区</w:t>
      </w:r>
      <w:r>
        <w:rPr>
          <w:rFonts w:ascii="仿宋_GB2312" w:eastAsia="仿宋_GB2312" w:hAnsi="仿宋_GB2312" w:cs="仿宋_GB2312" w:hint="eastAsia"/>
          <w:color w:val="3D3D3D"/>
          <w:sz w:val="32"/>
          <w:szCs w:val="32"/>
          <w:shd w:val="clear" w:color="auto" w:fill="FFFFFF"/>
        </w:rPr>
        <w:t>实施的工贸类建设项目，多数不按规定履行“三同时”手续，导致安全设施不完善、安全管理不到位，有的企业连基础性安全管理制度都不全，安全管理人员缺失，严重影响了工贸企业安全生产管理工作。各</w:t>
      </w:r>
      <w:r>
        <w:rPr>
          <w:rFonts w:ascii="仿宋_GB2312" w:eastAsia="仿宋_GB2312" w:hAnsi="仿宋_GB2312" w:cs="仿宋_GB2312" w:hint="eastAsia"/>
          <w:sz w:val="32"/>
          <w:szCs w:val="32"/>
        </w:rPr>
        <w:t>县（市、区）、工业园区安监</w:t>
      </w:r>
      <w:r>
        <w:rPr>
          <w:rFonts w:ascii="仿宋_GB2312" w:eastAsia="仿宋_GB2312" w:hAnsi="仿宋_GB2312" w:cs="仿宋_GB2312" w:hint="eastAsia"/>
          <w:color w:val="3D3D3D"/>
          <w:sz w:val="32"/>
          <w:szCs w:val="32"/>
          <w:shd w:val="clear" w:color="auto" w:fill="FFFFFF"/>
        </w:rPr>
        <w:t>部门要高度重视国家安全监管总局第</w:t>
      </w:r>
      <w:r>
        <w:rPr>
          <w:rFonts w:ascii="仿宋_GB2312" w:eastAsia="仿宋_GB2312" w:hAnsi="仿宋_GB2312" w:cs="仿宋_GB2312"/>
          <w:color w:val="3D3D3D"/>
          <w:sz w:val="32"/>
          <w:szCs w:val="32"/>
          <w:shd w:val="clear" w:color="auto" w:fill="FFFFFF"/>
        </w:rPr>
        <w:t>36</w:t>
      </w:r>
      <w:r>
        <w:rPr>
          <w:rFonts w:ascii="仿宋_GB2312" w:eastAsia="仿宋_GB2312" w:hAnsi="仿宋_GB2312" w:cs="仿宋_GB2312" w:hint="eastAsia"/>
          <w:color w:val="3D3D3D"/>
          <w:sz w:val="32"/>
          <w:szCs w:val="32"/>
          <w:shd w:val="clear" w:color="auto" w:fill="FFFFFF"/>
        </w:rPr>
        <w:t>号和第</w:t>
      </w:r>
      <w:r>
        <w:rPr>
          <w:rFonts w:ascii="仿宋_GB2312" w:eastAsia="仿宋_GB2312" w:hAnsi="仿宋_GB2312" w:cs="仿宋_GB2312"/>
          <w:color w:val="3D3D3D"/>
          <w:sz w:val="32"/>
          <w:szCs w:val="32"/>
          <w:shd w:val="clear" w:color="auto" w:fill="FFFFFF"/>
        </w:rPr>
        <w:t>90</w:t>
      </w:r>
      <w:r>
        <w:rPr>
          <w:rFonts w:ascii="仿宋_GB2312" w:eastAsia="仿宋_GB2312" w:hAnsi="仿宋_GB2312" w:cs="仿宋_GB2312" w:hint="eastAsia"/>
          <w:color w:val="3D3D3D"/>
          <w:sz w:val="32"/>
          <w:szCs w:val="32"/>
          <w:shd w:val="clear" w:color="auto" w:fill="FFFFFF"/>
        </w:rPr>
        <w:t>号令的学习宣传及贯彻执行工作，</w:t>
      </w:r>
      <w:r>
        <w:rPr>
          <w:rFonts w:ascii="仿宋_GB2312" w:eastAsia="仿宋_GB2312" w:hAnsi="仿宋_GB2312" w:cs="仿宋_GB2312" w:hint="eastAsia"/>
          <w:color w:val="111111"/>
          <w:sz w:val="32"/>
          <w:szCs w:val="32"/>
        </w:rPr>
        <w:t>采取切实可行的工作手段，把落实建设项目安全设施和职业病防护设施“三同时”作为提高企业本质安全水平，减少事故发生，做好事前预防的重要安全管理措施。</w:t>
      </w:r>
    </w:p>
    <w:p w:rsidR="004F2A03" w:rsidRPr="00A0378B" w:rsidRDefault="004F2A03" w:rsidP="00ED32AC">
      <w:pPr>
        <w:pStyle w:val="NormalWeb"/>
        <w:widowControl/>
        <w:spacing w:beforeAutospacing="0" w:afterAutospacing="0" w:line="570" w:lineRule="exact"/>
        <w:rPr>
          <w:rFonts w:ascii="黑体" w:eastAsia="黑体" w:hAnsi="黑体" w:cs="仿宋_GB2312"/>
          <w:color w:val="111111"/>
          <w:sz w:val="32"/>
          <w:szCs w:val="32"/>
        </w:rPr>
      </w:pPr>
      <w:r>
        <w:rPr>
          <w:rFonts w:ascii="仿宋_GB2312" w:eastAsia="仿宋_GB2312" w:hAnsi="仿宋_GB2312" w:cs="仿宋_GB2312" w:hint="eastAsia"/>
          <w:color w:val="111111"/>
          <w:sz w:val="32"/>
          <w:szCs w:val="32"/>
        </w:rPr>
        <w:t xml:space="preserve">　</w:t>
      </w:r>
      <w:r>
        <w:rPr>
          <w:rFonts w:ascii="仿宋_GB2312" w:eastAsia="仿宋_GB2312" w:hAnsi="仿宋_GB2312" w:cs="仿宋_GB2312"/>
          <w:color w:val="111111"/>
          <w:sz w:val="32"/>
          <w:szCs w:val="32"/>
        </w:rPr>
        <w:t xml:space="preserve"> </w:t>
      </w:r>
      <w:r>
        <w:rPr>
          <w:rFonts w:ascii="仿宋_GB2312" w:eastAsia="仿宋_GB2312" w:hAnsi="仿宋_GB2312" w:cs="仿宋_GB2312"/>
          <w:b/>
          <w:bCs/>
          <w:color w:val="111111"/>
          <w:sz w:val="32"/>
          <w:szCs w:val="32"/>
        </w:rPr>
        <w:t xml:space="preserve"> </w:t>
      </w:r>
      <w:r w:rsidRPr="00A0378B">
        <w:rPr>
          <w:rFonts w:ascii="黑体" w:eastAsia="黑体" w:hAnsi="黑体" w:cs="仿宋_GB2312" w:hint="eastAsia"/>
          <w:b/>
          <w:bCs/>
          <w:color w:val="111111"/>
          <w:sz w:val="32"/>
          <w:szCs w:val="32"/>
        </w:rPr>
        <w:t>二、强化措施，确保实效</w:t>
      </w:r>
    </w:p>
    <w:p w:rsidR="004F2A03" w:rsidRDefault="004F2A03" w:rsidP="00ED32AC">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111111"/>
          <w:sz w:val="32"/>
          <w:szCs w:val="32"/>
        </w:rPr>
        <w:t>为彻底解决多年来建设项目“三同时”执行不到位的遗留问题，经市安监局研究决定，</w:t>
      </w:r>
      <w:r>
        <w:rPr>
          <w:rFonts w:ascii="仿宋_GB2312" w:eastAsia="仿宋_GB2312" w:hAnsi="仿宋_GB2312" w:cs="仿宋_GB2312" w:hint="eastAsia"/>
          <w:sz w:val="32"/>
          <w:szCs w:val="32"/>
        </w:rPr>
        <w:t>凡</w:t>
      </w:r>
      <w:r>
        <w:rPr>
          <w:rFonts w:ascii="仿宋_GB2312" w:eastAsia="仿宋_GB2312" w:hAnsi="仿宋_GB2312" w:cs="仿宋_GB2312" w:hint="eastAsia"/>
          <w:bCs/>
          <w:color w:val="000000"/>
          <w:sz w:val="32"/>
          <w:szCs w:val="32"/>
          <w:shd w:val="clear" w:color="auto" w:fill="FFFFFF"/>
        </w:rPr>
        <w:t>是</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日以来已开工建设或投产运行的工贸企业建设项目，必须严格依法履行建设项目安全设施和职业病防护设施“三同时”手续。凡是</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日之前，已经正式投产运行没有依法开展建设项目安全设施和职业病防护设施“三同时”工作的企业，必须于</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月底前按要求完成安全现状评价和职业病危害因素检测及现状评价工作，通过现状评价完善并规范企业安全生产管理行为。对逾期未完成现状评价的企业一律依法从重实施行政处罚，并责令限期整改。</w:t>
      </w:r>
    </w:p>
    <w:p w:rsidR="004F2A03" w:rsidRPr="00A0378B" w:rsidRDefault="004F2A03" w:rsidP="00ED32AC">
      <w:pPr>
        <w:spacing w:line="570" w:lineRule="exact"/>
        <w:ind w:firstLineChars="200" w:firstLine="31680"/>
        <w:rPr>
          <w:rFonts w:ascii="黑体" w:eastAsia="黑体" w:hAnsi="黑体" w:cs="仿宋_GB2312"/>
          <w:b/>
          <w:bCs/>
          <w:color w:val="3D3D3D"/>
          <w:sz w:val="32"/>
          <w:szCs w:val="32"/>
          <w:shd w:val="clear" w:color="auto" w:fill="FFFFFF"/>
        </w:rPr>
      </w:pPr>
      <w:r w:rsidRPr="00A0378B">
        <w:rPr>
          <w:rFonts w:ascii="黑体" w:eastAsia="黑体" w:hAnsi="黑体" w:cs="仿宋_GB2312" w:hint="eastAsia"/>
          <w:b/>
          <w:bCs/>
          <w:color w:val="3D3D3D"/>
          <w:sz w:val="32"/>
          <w:szCs w:val="32"/>
          <w:shd w:val="clear" w:color="auto" w:fill="FFFFFF"/>
        </w:rPr>
        <w:t>三、落实责任，跟踪问效</w:t>
      </w:r>
    </w:p>
    <w:p w:rsidR="004F2A03" w:rsidRDefault="004F2A03" w:rsidP="00ED32AC">
      <w:pPr>
        <w:spacing w:line="570" w:lineRule="exact"/>
        <w:ind w:firstLineChars="200" w:firstLine="31680"/>
        <w:rPr>
          <w:rFonts w:ascii="宋体" w:cs="宋体"/>
          <w:b/>
          <w:color w:val="000000"/>
          <w:szCs w:val="21"/>
          <w:shd w:val="clear" w:color="auto" w:fill="FFFFFF"/>
        </w:rPr>
      </w:pPr>
      <w:r>
        <w:rPr>
          <w:rFonts w:ascii="仿宋_GB2312" w:eastAsia="仿宋_GB2312" w:hAnsi="仿宋_GB2312" w:cs="仿宋_GB2312" w:hint="eastAsia"/>
          <w:color w:val="3D3D3D"/>
          <w:sz w:val="32"/>
          <w:szCs w:val="32"/>
          <w:shd w:val="clear" w:color="auto" w:fill="FFFFFF"/>
        </w:rPr>
        <w:t>各</w:t>
      </w:r>
      <w:r>
        <w:rPr>
          <w:rFonts w:ascii="仿宋_GB2312" w:eastAsia="仿宋_GB2312" w:hAnsi="仿宋_GB2312" w:cs="仿宋_GB2312" w:hint="eastAsia"/>
          <w:sz w:val="32"/>
          <w:szCs w:val="32"/>
        </w:rPr>
        <w:t>县（市、区）、工业园区安监</w:t>
      </w:r>
      <w:r>
        <w:rPr>
          <w:rFonts w:ascii="仿宋_GB2312" w:eastAsia="仿宋_GB2312" w:hAnsi="仿宋_GB2312" w:cs="仿宋_GB2312" w:hint="eastAsia"/>
          <w:color w:val="3D3D3D"/>
          <w:sz w:val="32"/>
          <w:szCs w:val="32"/>
          <w:shd w:val="clear" w:color="auto" w:fill="FFFFFF"/>
        </w:rPr>
        <w:t>部门</w:t>
      </w:r>
      <w:r>
        <w:rPr>
          <w:rFonts w:ascii="仿宋_GB2312" w:eastAsia="仿宋_GB2312" w:hAnsi="仿宋_GB2312" w:cs="仿宋_GB2312" w:hint="eastAsia"/>
          <w:color w:val="111111"/>
          <w:sz w:val="32"/>
          <w:szCs w:val="32"/>
        </w:rPr>
        <w:t>要强化事前宣传指导、事中事后监督管理，确保辖区内建设项目“三同时”工作随着项目的建设进度同时开展、有序推进。对发现未严格履行“三同时”手续违法违规行为的，要责令建设单位限期改正，对逾期不改正或拒不执行监察指令的</w:t>
      </w:r>
      <w:r>
        <w:rPr>
          <w:rFonts w:ascii="仿宋_GB2312" w:eastAsia="仿宋_GB2312" w:hAnsi="仿宋_GB2312" w:cs="仿宋_GB2312"/>
          <w:color w:val="111111"/>
          <w:sz w:val="32"/>
          <w:szCs w:val="32"/>
        </w:rPr>
        <w:t>, </w:t>
      </w:r>
      <w:r>
        <w:rPr>
          <w:rFonts w:ascii="仿宋_GB2312" w:eastAsia="仿宋_GB2312" w:hAnsi="仿宋_GB2312" w:cs="仿宋_GB2312" w:hint="eastAsia"/>
          <w:color w:val="111111"/>
          <w:sz w:val="32"/>
          <w:szCs w:val="32"/>
        </w:rPr>
        <w:t>要依据《安全生产法》、《职业病防治法》、</w:t>
      </w:r>
      <w:r>
        <w:rPr>
          <w:rFonts w:ascii="仿宋_GB2312" w:eastAsia="仿宋_GB2312" w:hAnsi="仿宋_GB2312" w:cs="仿宋_GB2312" w:hint="eastAsia"/>
          <w:color w:val="3D3D3D"/>
          <w:sz w:val="32"/>
          <w:szCs w:val="32"/>
          <w:shd w:val="clear" w:color="auto" w:fill="FFFFFF"/>
        </w:rPr>
        <w:t>国家安全监管总局第</w:t>
      </w:r>
      <w:r>
        <w:rPr>
          <w:rFonts w:ascii="仿宋_GB2312" w:eastAsia="仿宋_GB2312" w:hAnsi="仿宋_GB2312" w:cs="仿宋_GB2312"/>
          <w:color w:val="3D3D3D"/>
          <w:sz w:val="32"/>
          <w:szCs w:val="32"/>
          <w:shd w:val="clear" w:color="auto" w:fill="FFFFFF"/>
        </w:rPr>
        <w:t>36</w:t>
      </w:r>
      <w:r>
        <w:rPr>
          <w:rFonts w:ascii="仿宋_GB2312" w:eastAsia="仿宋_GB2312" w:hAnsi="仿宋_GB2312" w:cs="仿宋_GB2312" w:hint="eastAsia"/>
          <w:color w:val="3D3D3D"/>
          <w:sz w:val="32"/>
          <w:szCs w:val="32"/>
          <w:shd w:val="clear" w:color="auto" w:fill="FFFFFF"/>
        </w:rPr>
        <w:t>号和第</w:t>
      </w:r>
      <w:r>
        <w:rPr>
          <w:rFonts w:ascii="仿宋_GB2312" w:eastAsia="仿宋_GB2312" w:hAnsi="仿宋_GB2312" w:cs="仿宋_GB2312"/>
          <w:color w:val="3D3D3D"/>
          <w:sz w:val="32"/>
          <w:szCs w:val="32"/>
          <w:shd w:val="clear" w:color="auto" w:fill="FFFFFF"/>
        </w:rPr>
        <w:t>90</w:t>
      </w:r>
      <w:r>
        <w:rPr>
          <w:rFonts w:ascii="仿宋_GB2312" w:eastAsia="仿宋_GB2312" w:hAnsi="仿宋_GB2312" w:cs="仿宋_GB2312" w:hint="eastAsia"/>
          <w:color w:val="3D3D3D"/>
          <w:sz w:val="32"/>
          <w:szCs w:val="32"/>
          <w:shd w:val="clear" w:color="auto" w:fill="FFFFFF"/>
        </w:rPr>
        <w:t>号令</w:t>
      </w:r>
      <w:r>
        <w:rPr>
          <w:rFonts w:ascii="仿宋_GB2312" w:eastAsia="仿宋_GB2312" w:hAnsi="仿宋_GB2312" w:cs="仿宋_GB2312" w:hint="eastAsia"/>
          <w:color w:val="111111"/>
          <w:sz w:val="32"/>
          <w:szCs w:val="32"/>
        </w:rPr>
        <w:t>等法律法规的规定严肃查处，导致发生生产安全事故的</w:t>
      </w:r>
      <w:r>
        <w:rPr>
          <w:rFonts w:ascii="仿宋_GB2312" w:eastAsia="仿宋_GB2312" w:hAnsi="仿宋_GB2312" w:cs="仿宋_GB2312"/>
          <w:color w:val="111111"/>
          <w:sz w:val="32"/>
          <w:szCs w:val="32"/>
        </w:rPr>
        <w:t>,</w:t>
      </w:r>
      <w:r>
        <w:rPr>
          <w:rFonts w:ascii="仿宋_GB2312" w:eastAsia="仿宋_GB2312" w:hAnsi="仿宋_GB2312" w:cs="仿宋_GB2312" w:hint="eastAsia"/>
          <w:color w:val="111111"/>
          <w:sz w:val="32"/>
          <w:szCs w:val="32"/>
        </w:rPr>
        <w:t>要依照有关法律法规，严肃追究有关单位及其责任人的法律责任。</w:t>
      </w:r>
      <w:r>
        <w:rPr>
          <w:rFonts w:ascii="仿宋_GB2312" w:eastAsia="仿宋_GB2312" w:hAnsi="仿宋_GB2312" w:cs="仿宋_GB2312" w:hint="eastAsia"/>
          <w:sz w:val="32"/>
          <w:szCs w:val="32"/>
        </w:rPr>
        <w:t>各地安监部门要将建设项目安全设施和职业病防护设施“三同时”手续履行情况作为执法检查的重点内容，对不按规定履行“三同时”手续的企业一律责令限期改正并依法给予行政处罚。此项工作落实情况将纳入</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年对各地安全生产工作的考核内容。今后，凡是发现未按规定履行“三同时”手续的项目，追究企业主体责任的同时要追究属地监管责任。</w:t>
      </w:r>
    </w:p>
    <w:p w:rsidR="004F2A03" w:rsidRDefault="004F2A03" w:rsidP="00ED32AC">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color w:val="3D3D3D"/>
          <w:sz w:val="32"/>
          <w:szCs w:val="32"/>
          <w:shd w:val="clear" w:color="auto" w:fill="FFFFFF"/>
        </w:rPr>
        <w:t>请各</w:t>
      </w:r>
      <w:r>
        <w:rPr>
          <w:rFonts w:ascii="仿宋_GB2312" w:eastAsia="仿宋_GB2312" w:hAnsi="仿宋_GB2312" w:cs="仿宋_GB2312" w:hint="eastAsia"/>
          <w:sz w:val="32"/>
          <w:szCs w:val="32"/>
        </w:rPr>
        <w:t>县（市、区）、工业园区安监</w:t>
      </w:r>
      <w:r>
        <w:rPr>
          <w:rFonts w:ascii="仿宋_GB2312" w:eastAsia="仿宋_GB2312" w:hAnsi="仿宋_GB2312" w:cs="仿宋_GB2312" w:hint="eastAsia"/>
          <w:color w:val="3D3D3D"/>
          <w:sz w:val="32"/>
          <w:szCs w:val="32"/>
          <w:shd w:val="clear" w:color="auto" w:fill="FFFFFF"/>
        </w:rPr>
        <w:t>部门将此文件转发至各工贸企业，并对</w:t>
      </w:r>
      <w:r>
        <w:rPr>
          <w:rFonts w:ascii="仿宋_GB2312" w:eastAsia="仿宋_GB2312" w:hAnsi="仿宋_GB2312" w:cs="仿宋_GB2312" w:hint="eastAsia"/>
          <w:sz w:val="32"/>
          <w:szCs w:val="32"/>
        </w:rPr>
        <w:t>对辖区内工贸企业立即组织摸底调查，于</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日前将本地</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日之前工贸企业建设项目未履行“三同时”手续情况（见附件）上报市安监局备案。</w:t>
      </w:r>
    </w:p>
    <w:p w:rsidR="004F2A03" w:rsidRDefault="004F2A03" w:rsidP="00ED32AC">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联系人：海学斌</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电话：</w:t>
      </w:r>
      <w:r>
        <w:rPr>
          <w:rFonts w:ascii="仿宋_GB2312" w:eastAsia="仿宋_GB2312" w:hAnsi="仿宋_GB2312" w:cs="仿宋_GB2312"/>
          <w:sz w:val="32"/>
          <w:szCs w:val="32"/>
        </w:rPr>
        <w:t xml:space="preserve">2032097   </w:t>
      </w:r>
      <w:r>
        <w:rPr>
          <w:rFonts w:ascii="仿宋_GB2312" w:eastAsia="仿宋_GB2312" w:hAnsi="仿宋_GB2312" w:cs="仿宋_GB2312" w:hint="eastAsia"/>
          <w:sz w:val="32"/>
          <w:szCs w:val="32"/>
        </w:rPr>
        <w:t>传真：</w:t>
      </w:r>
      <w:r>
        <w:rPr>
          <w:rFonts w:ascii="仿宋_GB2312" w:eastAsia="仿宋_GB2312" w:hAnsi="仿宋_GB2312" w:cs="仿宋_GB2312"/>
          <w:sz w:val="32"/>
          <w:szCs w:val="32"/>
        </w:rPr>
        <w:t>2037266</w:t>
      </w:r>
    </w:p>
    <w:p w:rsidR="004F2A03" w:rsidRDefault="004F2A03" w:rsidP="00ED32AC">
      <w:pPr>
        <w:spacing w:line="570" w:lineRule="exac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邮箱：</w:t>
      </w:r>
      <w:r>
        <w:rPr>
          <w:rFonts w:ascii="仿宋_GB2312" w:eastAsia="仿宋_GB2312" w:hAnsi="仿宋_GB2312" w:cs="仿宋_GB2312"/>
          <w:sz w:val="32"/>
          <w:szCs w:val="32"/>
        </w:rPr>
        <w:t>wzsajjzwk@163.com</w:t>
      </w:r>
    </w:p>
    <w:p w:rsidR="004F2A03" w:rsidRDefault="004F2A03" w:rsidP="00ED32AC">
      <w:pPr>
        <w:spacing w:line="570" w:lineRule="exact"/>
        <w:ind w:firstLineChars="100" w:firstLine="31680"/>
        <w:jc w:val="center"/>
        <w:rPr>
          <w:rFonts w:ascii="仿宋_GB2312" w:eastAsia="仿宋_GB2312" w:hAnsi="仿宋_GB2312" w:cs="仿宋_GB2312"/>
          <w:sz w:val="32"/>
          <w:szCs w:val="32"/>
        </w:rPr>
      </w:pPr>
    </w:p>
    <w:p w:rsidR="004F2A03" w:rsidRDefault="004F2A03" w:rsidP="00ED32AC">
      <w:pPr>
        <w:spacing w:line="570" w:lineRule="exact"/>
        <w:ind w:firstLineChars="100" w:firstLine="31680"/>
        <w:jc w:val="center"/>
        <w:rPr>
          <w:rFonts w:ascii="仿宋_GB2312" w:eastAsia="仿宋_GB2312" w:hAnsi="仿宋_GB2312" w:cs="仿宋_GB2312"/>
          <w:bCs/>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bCs/>
          <w:sz w:val="32"/>
          <w:szCs w:val="32"/>
        </w:rPr>
        <w:t>工贸行业企业建设项目未履行安全设施和职业病防</w:t>
      </w:r>
    </w:p>
    <w:p w:rsidR="004F2A03" w:rsidRDefault="004F2A03" w:rsidP="00ED32AC">
      <w:pPr>
        <w:spacing w:line="570" w:lineRule="exact"/>
        <w:ind w:firstLineChars="400" w:firstLine="3168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护设施“三同时”情况统计表</w:t>
      </w:r>
    </w:p>
    <w:p w:rsidR="004F2A03" w:rsidRDefault="004F2A03" w:rsidP="00ED32AC">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4F2A03" w:rsidRDefault="004F2A03" w:rsidP="00ED32AC">
      <w:pPr>
        <w:spacing w:line="570" w:lineRule="exact"/>
        <w:ind w:firstLineChars="200" w:firstLine="31680"/>
        <w:rPr>
          <w:rFonts w:ascii="仿宋_GB2312" w:eastAsia="仿宋_GB2312" w:hAnsi="仿宋_GB2312" w:cs="仿宋_GB2312"/>
          <w:sz w:val="32"/>
          <w:szCs w:val="32"/>
        </w:rPr>
      </w:pPr>
    </w:p>
    <w:p w:rsidR="004F2A03" w:rsidRDefault="004F2A03" w:rsidP="00ED32AC">
      <w:pPr>
        <w:spacing w:line="570" w:lineRule="exact"/>
        <w:ind w:firstLineChars="200" w:firstLine="31680"/>
        <w:rPr>
          <w:rFonts w:ascii="仿宋_GB2312" w:eastAsia="仿宋_GB2312" w:hAnsi="仿宋_GB2312" w:cs="仿宋_GB2312"/>
          <w:sz w:val="32"/>
          <w:szCs w:val="32"/>
        </w:rPr>
      </w:pPr>
    </w:p>
    <w:p w:rsidR="004F2A03" w:rsidRDefault="004F2A03" w:rsidP="00E237B7">
      <w:pPr>
        <w:spacing w:line="570" w:lineRule="exact"/>
        <w:ind w:firstLineChars="11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吴忠市安全生产监督管理局</w:t>
      </w:r>
    </w:p>
    <w:p w:rsidR="004F2A03" w:rsidRDefault="004F2A03" w:rsidP="00ED32AC">
      <w:pPr>
        <w:spacing w:line="570" w:lineRule="exact"/>
        <w:rPr>
          <w:rFonts w:ascii="仿宋_GB2312" w:eastAsia="仿宋_GB2312" w:hAnsi="仿宋_GB2312" w:cs="仿宋_GB2312"/>
          <w:sz w:val="32"/>
          <w:szCs w:val="32"/>
        </w:rPr>
      </w:pPr>
      <w:r>
        <w:rPr>
          <w:rFonts w:ascii="仿宋_GB2312" w:eastAsia="仿宋_GB2312" w:hAnsi="仿宋_GB2312" w:cs="仿宋_GB2312"/>
          <w:sz w:val="32"/>
          <w:szCs w:val="32"/>
        </w:rPr>
        <w:t>                    </w:t>
      </w:r>
      <w:smartTag w:uri="urn:schemas-microsoft-com:office:smarttags" w:element="chsdate">
        <w:smartTagPr>
          <w:attr w:name="IsROCDate" w:val="False"/>
          <w:attr w:name="IsLunarDate" w:val="False"/>
          <w:attr w:name="Day" w:val="27"/>
          <w:attr w:name="Month" w:val="3"/>
          <w:attr w:name="Year" w:val="2018"/>
        </w:smartTagP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27</w:t>
        </w:r>
        <w:bookmarkStart w:id="0" w:name="_GoBack"/>
        <w:bookmarkEnd w:id="0"/>
        <w:r>
          <w:rPr>
            <w:rFonts w:ascii="仿宋_GB2312" w:eastAsia="仿宋_GB2312" w:hAnsi="仿宋_GB2312" w:cs="仿宋_GB2312" w:hint="eastAsia"/>
            <w:sz w:val="32"/>
            <w:szCs w:val="32"/>
          </w:rPr>
          <w:t>日</w:t>
        </w:r>
      </w:smartTag>
    </w:p>
    <w:p w:rsidR="004F2A03" w:rsidRDefault="004F2A03" w:rsidP="0013025D">
      <w:pPr>
        <w:spacing w:line="57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w:t>
      </w:r>
      <w:r>
        <w:rPr>
          <w:rFonts w:ascii="仿宋_GB2312" w:eastAsia="仿宋_GB2312" w:hAnsi="仿宋_GB2312" w:cs="仿宋_GB2312" w:hint="eastAsia"/>
          <w:sz w:val="32"/>
          <w:szCs w:val="32"/>
        </w:rPr>
        <w:t>此件公开发布</w:t>
      </w:r>
      <w:r>
        <w:rPr>
          <w:rFonts w:ascii="仿宋_GB2312" w:eastAsia="仿宋_GB2312" w:hAnsi="仿宋_GB2312" w:cs="仿宋_GB2312"/>
          <w:sz w:val="32"/>
          <w:szCs w:val="32"/>
        </w:rPr>
        <w:t>)</w:t>
      </w: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Default="004F2A03" w:rsidP="000343D0">
      <w:pPr>
        <w:ind w:firstLineChars="100" w:firstLine="31680"/>
        <w:jc w:val="center"/>
        <w:rPr>
          <w:b/>
          <w:sz w:val="36"/>
          <w:szCs w:val="36"/>
        </w:rPr>
      </w:pPr>
    </w:p>
    <w:p w:rsidR="004F2A03" w:rsidRPr="00A14711" w:rsidRDefault="004F2A03" w:rsidP="00A14711">
      <w:pPr>
        <w:ind w:firstLineChars="100" w:firstLine="31680"/>
        <w:jc w:val="center"/>
        <w:rPr>
          <w:rFonts w:ascii="方正大标宋简体" w:eastAsia="方正大标宋简体"/>
          <w:sz w:val="36"/>
          <w:szCs w:val="36"/>
        </w:rPr>
      </w:pPr>
      <w:r w:rsidRPr="00A14711">
        <w:rPr>
          <w:rFonts w:ascii="方正大标宋简体" w:eastAsia="方正大标宋简体" w:hint="eastAsia"/>
          <w:sz w:val="36"/>
          <w:szCs w:val="36"/>
        </w:rPr>
        <w:t>工贸行业企业未履行建设项目</w:t>
      </w:r>
    </w:p>
    <w:p w:rsidR="004F2A03" w:rsidRPr="00A14711" w:rsidRDefault="004F2A03" w:rsidP="00A14711">
      <w:pPr>
        <w:ind w:firstLineChars="100" w:firstLine="31680"/>
        <w:jc w:val="center"/>
        <w:rPr>
          <w:rFonts w:ascii="方正大标宋简体" w:eastAsia="方正大标宋简体"/>
          <w:sz w:val="36"/>
          <w:szCs w:val="36"/>
        </w:rPr>
      </w:pPr>
      <w:r w:rsidRPr="00A14711">
        <w:rPr>
          <w:rFonts w:ascii="方正大标宋简体" w:eastAsia="方正大标宋简体" w:hint="eastAsia"/>
          <w:sz w:val="36"/>
          <w:szCs w:val="36"/>
        </w:rPr>
        <w:t>安全设施和职业病防护设施“</w:t>
      </w:r>
      <w:r w:rsidRPr="00A14711">
        <w:rPr>
          <w:rFonts w:ascii="方正大标宋简体" w:eastAsia="方正大标宋简体" w:hAnsi="仿宋_GB2312" w:hint="eastAsia"/>
          <w:sz w:val="36"/>
          <w:szCs w:val="36"/>
        </w:rPr>
        <w:t>三同时</w:t>
      </w:r>
      <w:r w:rsidRPr="00A14711">
        <w:rPr>
          <w:rFonts w:ascii="方正大标宋简体" w:eastAsia="方正大标宋简体" w:hint="eastAsia"/>
          <w:sz w:val="36"/>
          <w:szCs w:val="36"/>
        </w:rPr>
        <w:t>”情况统计表</w:t>
      </w:r>
    </w:p>
    <w:p w:rsidR="004F2A03" w:rsidRDefault="004F2A03">
      <w:pPr>
        <w:rPr>
          <w:rFonts w:ascii="仿宋_GB2312" w:eastAsia="仿宋_GB2312"/>
          <w:b/>
          <w:sz w:val="28"/>
          <w:szCs w:val="28"/>
        </w:rPr>
      </w:pPr>
      <w:r>
        <w:rPr>
          <w:rFonts w:ascii="仿宋_GB2312" w:eastAsia="仿宋_GB2312" w:hint="eastAsia"/>
          <w:b/>
          <w:sz w:val="28"/>
          <w:szCs w:val="28"/>
        </w:rPr>
        <w:t>填表单位（公章）：</w:t>
      </w:r>
      <w:r>
        <w:rPr>
          <w:rFonts w:ascii="仿宋_GB2312" w:eastAsia="仿宋_GB2312"/>
          <w:b/>
          <w:sz w:val="28"/>
          <w:szCs w:val="28"/>
        </w:rPr>
        <w:t xml:space="preserve">                        </w:t>
      </w:r>
      <w:r>
        <w:rPr>
          <w:rFonts w:ascii="仿宋_GB2312" w:eastAsia="仿宋_GB2312" w:hint="eastAsia"/>
          <w:b/>
          <w:sz w:val="28"/>
          <w:szCs w:val="28"/>
        </w:rPr>
        <w:t>填表时间：</w:t>
      </w:r>
    </w:p>
    <w:tbl>
      <w:tblPr>
        <w:tblW w:w="9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50"/>
        <w:gridCol w:w="2960"/>
        <w:gridCol w:w="3098"/>
        <w:gridCol w:w="1364"/>
        <w:gridCol w:w="1124"/>
      </w:tblGrid>
      <w:tr w:rsidR="004F2A03" w:rsidRPr="00F2211D" w:rsidTr="00F2211D">
        <w:trPr>
          <w:trHeight w:val="837"/>
        </w:trPr>
        <w:tc>
          <w:tcPr>
            <w:tcW w:w="750" w:type="dxa"/>
            <w:vAlign w:val="center"/>
          </w:tcPr>
          <w:p w:rsidR="004F2A03" w:rsidRPr="00F2211D" w:rsidRDefault="004F2A03" w:rsidP="00F2211D">
            <w:pPr>
              <w:jc w:val="center"/>
              <w:rPr>
                <w:rFonts w:ascii="仿宋_GB2312" w:eastAsia="仿宋_GB2312"/>
                <w:b/>
                <w:bCs/>
                <w:sz w:val="24"/>
              </w:rPr>
            </w:pPr>
            <w:r w:rsidRPr="00F2211D">
              <w:rPr>
                <w:rFonts w:ascii="仿宋_GB2312" w:eastAsia="仿宋_GB2312" w:hint="eastAsia"/>
                <w:b/>
                <w:bCs/>
                <w:sz w:val="24"/>
              </w:rPr>
              <w:t>编号</w:t>
            </w:r>
          </w:p>
        </w:tc>
        <w:tc>
          <w:tcPr>
            <w:tcW w:w="2960" w:type="dxa"/>
            <w:vAlign w:val="center"/>
          </w:tcPr>
          <w:p w:rsidR="004F2A03" w:rsidRPr="00F2211D" w:rsidRDefault="004F2A03" w:rsidP="00F2211D">
            <w:pPr>
              <w:jc w:val="center"/>
              <w:rPr>
                <w:rFonts w:ascii="仿宋_GB2312" w:eastAsia="仿宋_GB2312"/>
                <w:b/>
                <w:bCs/>
                <w:sz w:val="24"/>
              </w:rPr>
            </w:pPr>
            <w:r w:rsidRPr="00F2211D">
              <w:rPr>
                <w:rFonts w:ascii="仿宋_GB2312" w:eastAsia="仿宋_GB2312" w:hint="eastAsia"/>
                <w:b/>
                <w:bCs/>
                <w:sz w:val="24"/>
              </w:rPr>
              <w:t>建设单位</w:t>
            </w:r>
          </w:p>
        </w:tc>
        <w:tc>
          <w:tcPr>
            <w:tcW w:w="3098" w:type="dxa"/>
            <w:vAlign w:val="center"/>
          </w:tcPr>
          <w:p w:rsidR="004F2A03" w:rsidRPr="00F2211D" w:rsidRDefault="004F2A03" w:rsidP="00F2211D">
            <w:pPr>
              <w:jc w:val="center"/>
              <w:rPr>
                <w:rFonts w:ascii="仿宋_GB2312" w:eastAsia="仿宋_GB2312"/>
                <w:b/>
                <w:bCs/>
                <w:sz w:val="24"/>
              </w:rPr>
            </w:pPr>
            <w:r w:rsidRPr="00F2211D">
              <w:rPr>
                <w:rFonts w:ascii="仿宋_GB2312" w:eastAsia="仿宋_GB2312" w:hint="eastAsia"/>
                <w:b/>
                <w:bCs/>
                <w:sz w:val="24"/>
              </w:rPr>
              <w:t>项目名称</w:t>
            </w:r>
          </w:p>
        </w:tc>
        <w:tc>
          <w:tcPr>
            <w:tcW w:w="1364" w:type="dxa"/>
            <w:vAlign w:val="center"/>
          </w:tcPr>
          <w:p w:rsidR="004F2A03" w:rsidRPr="00F2211D" w:rsidRDefault="004F2A03" w:rsidP="00F2211D">
            <w:pPr>
              <w:jc w:val="center"/>
              <w:rPr>
                <w:rFonts w:ascii="仿宋_GB2312" w:eastAsia="仿宋_GB2312"/>
                <w:b/>
                <w:bCs/>
                <w:sz w:val="24"/>
              </w:rPr>
            </w:pPr>
            <w:r w:rsidRPr="00F2211D">
              <w:rPr>
                <w:rFonts w:ascii="仿宋_GB2312" w:eastAsia="仿宋_GB2312" w:hint="eastAsia"/>
                <w:b/>
                <w:bCs/>
                <w:sz w:val="24"/>
              </w:rPr>
              <w:t>建设时间</w:t>
            </w:r>
          </w:p>
        </w:tc>
        <w:tc>
          <w:tcPr>
            <w:tcW w:w="1124" w:type="dxa"/>
            <w:vAlign w:val="center"/>
          </w:tcPr>
          <w:p w:rsidR="004F2A03" w:rsidRPr="00F2211D" w:rsidRDefault="004F2A03" w:rsidP="00F2211D">
            <w:pPr>
              <w:jc w:val="center"/>
              <w:rPr>
                <w:rFonts w:ascii="仿宋_GB2312" w:eastAsia="仿宋_GB2312"/>
                <w:b/>
                <w:bCs/>
                <w:sz w:val="24"/>
              </w:rPr>
            </w:pPr>
            <w:r w:rsidRPr="00F2211D">
              <w:rPr>
                <w:rFonts w:ascii="仿宋_GB2312" w:eastAsia="仿宋_GB2312" w:hint="eastAsia"/>
                <w:b/>
                <w:bCs/>
                <w:sz w:val="24"/>
              </w:rPr>
              <w:t>备</w:t>
            </w:r>
            <w:r w:rsidRPr="00F2211D">
              <w:rPr>
                <w:rFonts w:ascii="仿宋_GB2312" w:eastAsia="仿宋_GB2312"/>
                <w:b/>
                <w:bCs/>
                <w:sz w:val="24"/>
              </w:rPr>
              <w:t xml:space="preserve">  </w:t>
            </w:r>
            <w:r w:rsidRPr="00F2211D">
              <w:rPr>
                <w:rFonts w:ascii="仿宋_GB2312" w:eastAsia="仿宋_GB2312" w:hint="eastAsia"/>
                <w:b/>
                <w:bCs/>
                <w:sz w:val="24"/>
              </w:rPr>
              <w:t>注</w:t>
            </w:r>
          </w:p>
        </w:tc>
      </w:tr>
      <w:tr w:rsidR="004F2A03" w:rsidRPr="00F2211D" w:rsidTr="00F2211D">
        <w:trPr>
          <w:trHeight w:val="79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79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79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79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79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r w:rsidR="004F2A03" w:rsidRPr="00F2211D" w:rsidTr="00F2211D">
        <w:trPr>
          <w:trHeight w:val="815"/>
        </w:trPr>
        <w:tc>
          <w:tcPr>
            <w:tcW w:w="750" w:type="dxa"/>
            <w:vAlign w:val="center"/>
          </w:tcPr>
          <w:p w:rsidR="004F2A03" w:rsidRPr="00F2211D" w:rsidRDefault="004F2A03" w:rsidP="00F2211D">
            <w:pPr>
              <w:jc w:val="center"/>
              <w:rPr>
                <w:rFonts w:ascii="仿宋_GB2312" w:eastAsia="仿宋_GB2312"/>
                <w:sz w:val="24"/>
              </w:rPr>
            </w:pPr>
          </w:p>
        </w:tc>
        <w:tc>
          <w:tcPr>
            <w:tcW w:w="2960" w:type="dxa"/>
          </w:tcPr>
          <w:p w:rsidR="004F2A03" w:rsidRPr="00F2211D" w:rsidRDefault="004F2A03" w:rsidP="00F2211D">
            <w:pPr>
              <w:jc w:val="center"/>
              <w:rPr>
                <w:rFonts w:ascii="仿宋_GB2312" w:eastAsia="仿宋_GB2312"/>
                <w:sz w:val="24"/>
              </w:rPr>
            </w:pPr>
          </w:p>
        </w:tc>
        <w:tc>
          <w:tcPr>
            <w:tcW w:w="3098" w:type="dxa"/>
          </w:tcPr>
          <w:p w:rsidR="004F2A03" w:rsidRPr="00F2211D" w:rsidRDefault="004F2A03" w:rsidP="00F2211D">
            <w:pPr>
              <w:jc w:val="center"/>
              <w:rPr>
                <w:rFonts w:ascii="仿宋_GB2312" w:eastAsia="仿宋_GB2312"/>
                <w:sz w:val="24"/>
              </w:rPr>
            </w:pPr>
          </w:p>
        </w:tc>
        <w:tc>
          <w:tcPr>
            <w:tcW w:w="1364" w:type="dxa"/>
          </w:tcPr>
          <w:p w:rsidR="004F2A03" w:rsidRPr="00F2211D" w:rsidRDefault="004F2A03" w:rsidP="00F2211D">
            <w:pPr>
              <w:jc w:val="center"/>
              <w:rPr>
                <w:rFonts w:ascii="仿宋_GB2312" w:eastAsia="仿宋_GB2312"/>
                <w:sz w:val="24"/>
              </w:rPr>
            </w:pPr>
          </w:p>
        </w:tc>
        <w:tc>
          <w:tcPr>
            <w:tcW w:w="1124" w:type="dxa"/>
          </w:tcPr>
          <w:p w:rsidR="004F2A03" w:rsidRPr="00F2211D" w:rsidRDefault="004F2A03" w:rsidP="00F2211D">
            <w:pPr>
              <w:jc w:val="center"/>
              <w:rPr>
                <w:rFonts w:ascii="仿宋_GB2312" w:eastAsia="仿宋_GB2312"/>
                <w:sz w:val="24"/>
              </w:rPr>
            </w:pPr>
          </w:p>
        </w:tc>
      </w:tr>
    </w:tbl>
    <w:p w:rsidR="004F2A03" w:rsidRDefault="004F2A03">
      <w:pPr>
        <w:rPr>
          <w:sz w:val="24"/>
        </w:rPr>
      </w:pPr>
      <w:r>
        <w:rPr>
          <w:rFonts w:ascii="仿宋_GB2312" w:eastAsia="仿宋_GB2312" w:hint="eastAsia"/>
          <w:sz w:val="24"/>
        </w:rPr>
        <w:t>填表说明：</w:t>
      </w:r>
      <w:r>
        <w:rPr>
          <w:rFonts w:ascii="仿宋_GB2312" w:eastAsia="仿宋_GB2312" w:hAnsi="仿宋_GB2312" w:cs="仿宋_GB2312" w:hint="eastAsia"/>
          <w:color w:val="3D3D3D"/>
          <w:sz w:val="24"/>
          <w:shd w:val="clear" w:color="auto" w:fill="FFFFFF"/>
        </w:rPr>
        <w:t>请各</w:t>
      </w:r>
      <w:r>
        <w:rPr>
          <w:rFonts w:ascii="仿宋_GB2312" w:eastAsia="仿宋_GB2312" w:hAnsi="仿宋_GB2312" w:cs="仿宋_GB2312" w:hint="eastAsia"/>
          <w:sz w:val="24"/>
        </w:rPr>
        <w:t>县（市、区）、工业园区安监</w:t>
      </w:r>
      <w:r>
        <w:rPr>
          <w:rFonts w:ascii="仿宋_GB2312" w:eastAsia="仿宋_GB2312" w:hAnsi="仿宋_GB2312" w:cs="仿宋_GB2312" w:hint="eastAsia"/>
          <w:color w:val="3D3D3D"/>
          <w:sz w:val="24"/>
          <w:shd w:val="clear" w:color="auto" w:fill="FFFFFF"/>
        </w:rPr>
        <w:t>部门将</w:t>
      </w:r>
      <w:r>
        <w:rPr>
          <w:rFonts w:ascii="仿宋_GB2312" w:eastAsia="仿宋_GB2312" w:hint="eastAsia"/>
          <w:sz w:val="24"/>
        </w:rPr>
        <w:t>辖区内</w:t>
      </w:r>
      <w:r>
        <w:rPr>
          <w:rFonts w:ascii="仿宋_GB2312" w:eastAsia="仿宋_GB2312"/>
          <w:sz w:val="24"/>
        </w:rPr>
        <w:t>2017</w:t>
      </w:r>
      <w:r>
        <w:rPr>
          <w:rFonts w:ascii="仿宋_GB2312" w:eastAsia="仿宋_GB2312" w:hint="eastAsia"/>
          <w:sz w:val="24"/>
        </w:rPr>
        <w:t>年</w:t>
      </w:r>
      <w:r>
        <w:rPr>
          <w:rFonts w:ascii="仿宋_GB2312" w:eastAsia="仿宋_GB2312"/>
          <w:sz w:val="24"/>
        </w:rPr>
        <w:t>5</w:t>
      </w:r>
      <w:r>
        <w:rPr>
          <w:rFonts w:ascii="仿宋_GB2312" w:eastAsia="仿宋_GB2312" w:hint="eastAsia"/>
          <w:sz w:val="24"/>
        </w:rPr>
        <w:t>月</w:t>
      </w:r>
      <w:r>
        <w:rPr>
          <w:rFonts w:ascii="仿宋_GB2312" w:eastAsia="仿宋_GB2312"/>
          <w:sz w:val="24"/>
        </w:rPr>
        <w:t>1</w:t>
      </w:r>
      <w:r>
        <w:rPr>
          <w:rFonts w:ascii="仿宋_GB2312" w:eastAsia="仿宋_GB2312" w:hint="eastAsia"/>
          <w:sz w:val="24"/>
        </w:rPr>
        <w:t>日之前冶金等工贸行业企业未履行建设项目</w:t>
      </w:r>
      <w:r>
        <w:rPr>
          <w:rFonts w:ascii="仿宋_GB2312" w:eastAsia="仿宋_GB2312" w:hAnsi="仿宋_GB2312" w:hint="eastAsia"/>
          <w:bCs/>
          <w:sz w:val="24"/>
        </w:rPr>
        <w:t>“三同时”工作</w:t>
      </w:r>
      <w:r>
        <w:rPr>
          <w:rFonts w:ascii="仿宋_GB2312" w:eastAsia="仿宋_GB2312" w:hint="eastAsia"/>
          <w:sz w:val="24"/>
        </w:rPr>
        <w:t>相关信息填入此表，并于</w:t>
      </w:r>
      <w:r>
        <w:rPr>
          <w:rFonts w:ascii="仿宋_GB2312" w:eastAsia="仿宋_GB2312"/>
          <w:sz w:val="24"/>
        </w:rPr>
        <w:t>4</w:t>
      </w:r>
      <w:r>
        <w:rPr>
          <w:rFonts w:ascii="仿宋_GB2312" w:eastAsia="仿宋_GB2312" w:hAnsi="仿宋_GB2312" w:hint="eastAsia"/>
          <w:sz w:val="24"/>
        </w:rPr>
        <w:t>月</w:t>
      </w:r>
      <w:r>
        <w:rPr>
          <w:rFonts w:ascii="仿宋_GB2312" w:eastAsia="仿宋_GB2312" w:hAnsi="仿宋_GB2312"/>
          <w:sz w:val="24"/>
        </w:rPr>
        <w:t>10</w:t>
      </w:r>
      <w:r>
        <w:rPr>
          <w:rFonts w:ascii="仿宋_GB2312" w:eastAsia="仿宋_GB2312" w:hAnsi="仿宋_GB2312" w:hint="eastAsia"/>
          <w:sz w:val="24"/>
        </w:rPr>
        <w:t>日前报市安监局。</w:t>
      </w:r>
    </w:p>
    <w:sectPr w:rsidR="004F2A03" w:rsidSect="00D522DB">
      <w:footerReference w:type="default" r:id="rId6"/>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A03" w:rsidRDefault="004F2A03" w:rsidP="0042787C">
      <w:r>
        <w:separator/>
      </w:r>
    </w:p>
  </w:endnote>
  <w:endnote w:type="continuationSeparator" w:id="0">
    <w:p w:rsidR="004F2A03" w:rsidRDefault="004F2A03" w:rsidP="004278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03" w:rsidRDefault="004F2A03">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4F2A03" w:rsidRDefault="004F2A03">
                <w:pPr>
                  <w:snapToGrid w:val="0"/>
                  <w:rPr>
                    <w:sz w:val="18"/>
                  </w:rPr>
                </w:pPr>
                <w:fldSimple w:instr=" PAGE  \* MERGEFORMAT ">
                  <w:r w:rsidRPr="005D01BF">
                    <w:rPr>
                      <w:noProof/>
                      <w:sz w:val="18"/>
                    </w:rPr>
                    <w:t>5</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A03" w:rsidRDefault="004F2A03" w:rsidP="0042787C">
      <w:r>
        <w:separator/>
      </w:r>
    </w:p>
  </w:footnote>
  <w:footnote w:type="continuationSeparator" w:id="0">
    <w:p w:rsidR="004F2A03" w:rsidRDefault="004F2A03" w:rsidP="004278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E8706FF"/>
    <w:rsid w:val="00012440"/>
    <w:rsid w:val="000343D0"/>
    <w:rsid w:val="0013025D"/>
    <w:rsid w:val="001A6D2B"/>
    <w:rsid w:val="00363557"/>
    <w:rsid w:val="003761E6"/>
    <w:rsid w:val="0042787C"/>
    <w:rsid w:val="004F2A03"/>
    <w:rsid w:val="005504FF"/>
    <w:rsid w:val="00595DB6"/>
    <w:rsid w:val="005D01BF"/>
    <w:rsid w:val="00724DBE"/>
    <w:rsid w:val="007C342F"/>
    <w:rsid w:val="009D0686"/>
    <w:rsid w:val="00A0378B"/>
    <w:rsid w:val="00A14711"/>
    <w:rsid w:val="00AD72B6"/>
    <w:rsid w:val="00D522DB"/>
    <w:rsid w:val="00DE0299"/>
    <w:rsid w:val="00E237B7"/>
    <w:rsid w:val="00E87250"/>
    <w:rsid w:val="00ED32AC"/>
    <w:rsid w:val="00F2211D"/>
    <w:rsid w:val="03555310"/>
    <w:rsid w:val="06000EDB"/>
    <w:rsid w:val="07114B23"/>
    <w:rsid w:val="15461E60"/>
    <w:rsid w:val="156637CE"/>
    <w:rsid w:val="157C6698"/>
    <w:rsid w:val="1C9336A5"/>
    <w:rsid w:val="1E2F725D"/>
    <w:rsid w:val="1EC57CD6"/>
    <w:rsid w:val="1F9D795D"/>
    <w:rsid w:val="202574D3"/>
    <w:rsid w:val="23DA15BA"/>
    <w:rsid w:val="24A53A92"/>
    <w:rsid w:val="29C370E9"/>
    <w:rsid w:val="2B10213F"/>
    <w:rsid w:val="30D446A8"/>
    <w:rsid w:val="35F66167"/>
    <w:rsid w:val="3AC53067"/>
    <w:rsid w:val="3B057E0C"/>
    <w:rsid w:val="3B2146DA"/>
    <w:rsid w:val="3C664FF6"/>
    <w:rsid w:val="3D466839"/>
    <w:rsid w:val="3F8B2EE6"/>
    <w:rsid w:val="3F976543"/>
    <w:rsid w:val="3F98695C"/>
    <w:rsid w:val="430543DE"/>
    <w:rsid w:val="431E780A"/>
    <w:rsid w:val="455C1F9F"/>
    <w:rsid w:val="45BF0718"/>
    <w:rsid w:val="4BF173FE"/>
    <w:rsid w:val="505334DE"/>
    <w:rsid w:val="527E3D81"/>
    <w:rsid w:val="570115EE"/>
    <w:rsid w:val="5B8C6627"/>
    <w:rsid w:val="5D904B60"/>
    <w:rsid w:val="5FA77555"/>
    <w:rsid w:val="612736C7"/>
    <w:rsid w:val="61662869"/>
    <w:rsid w:val="632D7287"/>
    <w:rsid w:val="63D771B5"/>
    <w:rsid w:val="6726504C"/>
    <w:rsid w:val="67B12B14"/>
    <w:rsid w:val="68932F45"/>
    <w:rsid w:val="68B52392"/>
    <w:rsid w:val="69EC45E2"/>
    <w:rsid w:val="6E90615C"/>
    <w:rsid w:val="70120856"/>
    <w:rsid w:val="74D33D7B"/>
    <w:rsid w:val="7A6F661F"/>
    <w:rsid w:val="7CE91428"/>
    <w:rsid w:val="7D201D8C"/>
    <w:rsid w:val="7E022596"/>
    <w:rsid w:val="7E316D46"/>
    <w:rsid w:val="7E8706FF"/>
    <w:rsid w:val="7F1F7FA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87C"/>
    <w:pPr>
      <w:widowControl w:val="0"/>
      <w:jc w:val="both"/>
    </w:pPr>
    <w:rPr>
      <w:szCs w:val="24"/>
    </w:rPr>
  </w:style>
  <w:style w:type="paragraph" w:styleId="Heading3">
    <w:name w:val="heading 3"/>
    <w:basedOn w:val="Normal"/>
    <w:next w:val="Normal"/>
    <w:link w:val="Heading3Char"/>
    <w:uiPriority w:val="99"/>
    <w:qFormat/>
    <w:rsid w:val="0042787C"/>
    <w:pPr>
      <w:keepNext/>
      <w:keepLines/>
      <w:spacing w:line="413" w:lineRule="auto"/>
      <w:outlineLvl w:val="2"/>
    </w:pPr>
    <w:rPr>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87523"/>
    <w:rPr>
      <w:b/>
      <w:bCs/>
      <w:sz w:val="32"/>
      <w:szCs w:val="32"/>
    </w:rPr>
  </w:style>
  <w:style w:type="paragraph" w:styleId="Footer">
    <w:name w:val="footer"/>
    <w:basedOn w:val="Normal"/>
    <w:link w:val="FooterChar"/>
    <w:uiPriority w:val="99"/>
    <w:rsid w:val="0042787C"/>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087523"/>
    <w:rPr>
      <w:sz w:val="18"/>
      <w:szCs w:val="18"/>
    </w:rPr>
  </w:style>
  <w:style w:type="paragraph" w:styleId="Header">
    <w:name w:val="header"/>
    <w:basedOn w:val="Normal"/>
    <w:link w:val="HeaderChar"/>
    <w:uiPriority w:val="99"/>
    <w:rsid w:val="0042787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087523"/>
    <w:rPr>
      <w:sz w:val="18"/>
      <w:szCs w:val="18"/>
    </w:rPr>
  </w:style>
  <w:style w:type="paragraph" w:styleId="NormalWeb">
    <w:name w:val="Normal (Web)"/>
    <w:basedOn w:val="Normal"/>
    <w:uiPriority w:val="99"/>
    <w:rsid w:val="0042787C"/>
    <w:pPr>
      <w:spacing w:beforeAutospacing="1" w:afterAutospacing="1"/>
      <w:jc w:val="left"/>
    </w:pPr>
    <w:rPr>
      <w:kern w:val="0"/>
      <w:sz w:val="24"/>
    </w:rPr>
  </w:style>
  <w:style w:type="table" w:styleId="TableGrid">
    <w:name w:val="Table Grid"/>
    <w:basedOn w:val="TableNormal"/>
    <w:uiPriority w:val="99"/>
    <w:rsid w:val="0042787C"/>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rsid w:val="007C342F"/>
    <w:pPr>
      <w:ind w:leftChars="2500" w:left="100"/>
    </w:pPr>
  </w:style>
  <w:style w:type="character" w:customStyle="1" w:styleId="DateChar">
    <w:name w:val="Date Char"/>
    <w:basedOn w:val="DefaultParagraphFont"/>
    <w:link w:val="Date"/>
    <w:uiPriority w:val="99"/>
    <w:semiHidden/>
    <w:rsid w:val="00087523"/>
    <w:rPr>
      <w:szCs w:val="24"/>
    </w:rPr>
  </w:style>
</w:styles>
</file>

<file path=word/webSettings.xml><?xml version="1.0" encoding="utf-8"?>
<w:webSettings xmlns:r="http://schemas.openxmlformats.org/officeDocument/2006/relationships" xmlns:w="http://schemas.openxmlformats.org/wordprocessingml/2006/main">
  <w:divs>
    <w:div w:id="22688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5</Pages>
  <Words>275</Words>
  <Characters>1569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徐志琴</cp:lastModifiedBy>
  <cp:revision>19</cp:revision>
  <cp:lastPrinted>2018-03-27T01:40:00Z</cp:lastPrinted>
  <dcterms:created xsi:type="dcterms:W3CDTF">2018-03-20T01:05:00Z</dcterms:created>
  <dcterms:modified xsi:type="dcterms:W3CDTF">2018-03-27T01:40:00Z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