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p>
    <w:tbl>
      <w:tblPr>
        <w:tblStyle w:val="11"/>
        <w:tblW w:w="13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318"/>
        <w:gridCol w:w="1332"/>
        <w:gridCol w:w="5997"/>
        <w:gridCol w:w="1560"/>
        <w:gridCol w:w="1215"/>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3123" w:type="dxa"/>
            <w:gridSpan w:val="7"/>
            <w:tcBorders>
              <w:top w:val="nil"/>
              <w:left w:val="nil"/>
              <w:bottom w:val="nil"/>
              <w:right w:val="nil"/>
            </w:tcBorders>
            <w:vAlign w:val="center"/>
          </w:tcPr>
          <w:p>
            <w:pPr>
              <w:jc w:val="center"/>
              <w:rPr>
                <w:rFonts w:hint="default" w:ascii="Times New Roman" w:hAnsi="Times New Roman" w:eastAsia="方正小标宋_GBK" w:cs="Times New Roman"/>
                <w:b/>
                <w:sz w:val="36"/>
                <w:szCs w:val="36"/>
              </w:rPr>
            </w:pPr>
            <w:r>
              <w:rPr>
                <w:rFonts w:hint="default" w:ascii="Times New Roman" w:hAnsi="Times New Roman" w:eastAsia="方正小标宋_GBK" w:cs="Times New Roman"/>
                <w:bCs/>
                <w:sz w:val="36"/>
                <w:szCs w:val="36"/>
              </w:rPr>
              <w:t>吴忠市人民政府</w:t>
            </w:r>
            <w:r>
              <w:rPr>
                <w:rFonts w:hint="default" w:ascii="Times New Roman" w:hAnsi="Times New Roman" w:eastAsia="方正小标宋_GBK" w:cs="Times New Roman"/>
                <w:bCs/>
                <w:sz w:val="36"/>
                <w:szCs w:val="36"/>
                <w:lang w:eastAsia="zh-CN"/>
              </w:rPr>
              <w:t>取消</w:t>
            </w:r>
            <w:r>
              <w:rPr>
                <w:rFonts w:hint="default" w:ascii="Times New Roman" w:hAnsi="Times New Roman" w:eastAsia="方正小标宋_GBK" w:cs="Times New Roman"/>
                <w:bCs/>
                <w:sz w:val="36"/>
                <w:szCs w:val="36"/>
              </w:rPr>
              <w:t>的证明事项清单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3123" w:type="dxa"/>
            <w:gridSpan w:val="7"/>
            <w:tcBorders>
              <w:top w:val="nil"/>
              <w:left w:val="nil"/>
              <w:bottom w:val="single" w:color="auto" w:sz="4" w:space="0"/>
              <w:right w:val="nil"/>
            </w:tcBorders>
            <w:vAlign w:val="center"/>
          </w:tcPr>
          <w:p>
            <w:pPr>
              <w:rPr>
                <w:rFonts w:hint="default" w:ascii="Times New Roman" w:hAnsi="Times New Roman" w:cs="Times New Roman"/>
                <w:bCs/>
                <w:sz w:val="24"/>
                <w:szCs w:val="24"/>
              </w:rPr>
            </w:pPr>
            <w:r>
              <w:rPr>
                <w:rFonts w:hint="default" w:ascii="Times New Roman" w:hAnsi="Times New Roman" w:cs="Times New Roman"/>
                <w:bCs/>
                <w:sz w:val="24"/>
                <w:szCs w:val="24"/>
              </w:rPr>
              <w:t>公布单位：吴忠市人民政府                                                          公布日期：20</w:t>
            </w:r>
            <w:r>
              <w:rPr>
                <w:rFonts w:hint="default" w:ascii="Times New Roman" w:hAnsi="Times New Roman" w:cs="Times New Roman"/>
                <w:bCs/>
                <w:sz w:val="24"/>
                <w:szCs w:val="24"/>
                <w:lang w:val="en-US" w:eastAsia="zh-CN"/>
              </w:rPr>
              <w:t>24</w:t>
            </w:r>
            <w:r>
              <w:rPr>
                <w:rFonts w:hint="default" w:ascii="Times New Roman" w:hAnsi="Times New Roman" w:cs="Times New Roman"/>
                <w:bCs/>
                <w:sz w:val="24"/>
                <w:szCs w:val="24"/>
              </w:rPr>
              <w:t>年</w:t>
            </w:r>
            <w:r>
              <w:rPr>
                <w:rFonts w:hint="default" w:ascii="Times New Roman" w:hAnsi="Times New Roman" w:cs="Times New Roman"/>
                <w:bCs/>
                <w:sz w:val="24"/>
                <w:szCs w:val="24"/>
                <w:lang w:val="en-US" w:eastAsia="zh-CN"/>
              </w:rPr>
              <w:t>3</w:t>
            </w:r>
            <w:r>
              <w:rPr>
                <w:rFonts w:hint="default" w:ascii="Times New Roman" w:hAnsi="Times New Roman" w:cs="Times New Roman"/>
                <w:bCs/>
                <w:sz w:val="24"/>
                <w:szCs w:val="24"/>
              </w:rPr>
              <w:t>月</w:t>
            </w:r>
            <w:r>
              <w:rPr>
                <w:rFonts w:hint="eastAsia" w:ascii="Times New Roman" w:hAnsi="Times New Roman" w:cs="Times New Roman"/>
                <w:bCs/>
                <w:sz w:val="24"/>
                <w:szCs w:val="24"/>
                <w:lang w:val="en-US" w:eastAsia="zh-CN"/>
              </w:rPr>
              <w:t>19</w:t>
            </w:r>
            <w:r>
              <w:rPr>
                <w:rFonts w:hint="default" w:ascii="Times New Roman" w:hAnsi="Times New Roman" w:cs="Times New Roman"/>
                <w:bCs/>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33" w:type="dxa"/>
            <w:tcBorders>
              <w:top w:val="single" w:color="auto" w:sz="4" w:space="0"/>
            </w:tcBorders>
            <w:vAlign w:val="center"/>
          </w:tcPr>
          <w:p>
            <w:pPr>
              <w:spacing w:line="400" w:lineRule="exact"/>
              <w:jc w:val="center"/>
              <w:rPr>
                <w:rFonts w:hint="default" w:ascii="Times New Roman" w:hAnsi="Times New Roman" w:cs="Times New Roman"/>
                <w:bCs/>
                <w:sz w:val="24"/>
                <w:szCs w:val="24"/>
              </w:rPr>
            </w:pPr>
            <w:r>
              <w:rPr>
                <w:rFonts w:hint="default" w:ascii="Times New Roman" w:hAnsi="Times New Roman" w:cs="Times New Roman"/>
                <w:bCs/>
                <w:sz w:val="24"/>
                <w:szCs w:val="24"/>
              </w:rPr>
              <w:t>序号</w:t>
            </w:r>
          </w:p>
        </w:tc>
        <w:tc>
          <w:tcPr>
            <w:tcW w:w="1318" w:type="dxa"/>
            <w:tcBorders>
              <w:top w:val="single" w:color="auto" w:sz="4" w:space="0"/>
            </w:tcBorders>
            <w:vAlign w:val="center"/>
          </w:tcPr>
          <w:p>
            <w:pPr>
              <w:spacing w:line="400" w:lineRule="exact"/>
              <w:jc w:val="center"/>
              <w:rPr>
                <w:rFonts w:hint="default" w:ascii="Times New Roman" w:hAnsi="Times New Roman" w:cs="Times New Roman"/>
                <w:bCs/>
                <w:sz w:val="24"/>
                <w:szCs w:val="24"/>
              </w:rPr>
            </w:pPr>
            <w:r>
              <w:rPr>
                <w:rFonts w:hint="default" w:ascii="Times New Roman" w:hAnsi="Times New Roman" w:cs="Times New Roman"/>
                <w:bCs/>
                <w:sz w:val="24"/>
                <w:szCs w:val="24"/>
              </w:rPr>
              <w:t>证明名称</w:t>
            </w:r>
          </w:p>
        </w:tc>
        <w:tc>
          <w:tcPr>
            <w:tcW w:w="1332" w:type="dxa"/>
            <w:tcBorders>
              <w:top w:val="single" w:color="auto" w:sz="4" w:space="0"/>
            </w:tcBorders>
            <w:vAlign w:val="center"/>
          </w:tcPr>
          <w:p>
            <w:pPr>
              <w:spacing w:line="400" w:lineRule="exact"/>
              <w:jc w:val="center"/>
              <w:rPr>
                <w:rFonts w:hint="default" w:ascii="Times New Roman" w:hAnsi="Times New Roman" w:cs="Times New Roman"/>
                <w:bCs/>
                <w:sz w:val="24"/>
                <w:szCs w:val="24"/>
              </w:rPr>
            </w:pPr>
            <w:r>
              <w:rPr>
                <w:rFonts w:hint="default" w:ascii="Times New Roman" w:hAnsi="Times New Roman" w:cs="Times New Roman"/>
                <w:bCs/>
                <w:sz w:val="24"/>
                <w:szCs w:val="24"/>
              </w:rPr>
              <w:t>证明用途</w:t>
            </w:r>
          </w:p>
        </w:tc>
        <w:tc>
          <w:tcPr>
            <w:tcW w:w="5997" w:type="dxa"/>
            <w:tcBorders>
              <w:top w:val="single" w:color="auto" w:sz="4" w:space="0"/>
            </w:tcBorders>
            <w:vAlign w:val="center"/>
          </w:tcPr>
          <w:p>
            <w:pPr>
              <w:spacing w:line="400" w:lineRule="exact"/>
              <w:jc w:val="center"/>
              <w:rPr>
                <w:rFonts w:hint="default" w:ascii="Times New Roman" w:hAnsi="Times New Roman" w:cs="Times New Roman"/>
                <w:bCs/>
                <w:sz w:val="24"/>
                <w:szCs w:val="24"/>
              </w:rPr>
            </w:pPr>
            <w:r>
              <w:rPr>
                <w:rFonts w:hint="default" w:ascii="Times New Roman" w:hAnsi="Times New Roman" w:cs="Times New Roman"/>
                <w:bCs/>
                <w:sz w:val="24"/>
                <w:szCs w:val="24"/>
              </w:rPr>
              <w:t>设定依据</w:t>
            </w:r>
          </w:p>
        </w:tc>
        <w:tc>
          <w:tcPr>
            <w:tcW w:w="1560" w:type="dxa"/>
            <w:tcBorders>
              <w:top w:val="single" w:color="auto" w:sz="4" w:space="0"/>
            </w:tcBorders>
            <w:vAlign w:val="center"/>
          </w:tcPr>
          <w:p>
            <w:pPr>
              <w:spacing w:line="400" w:lineRule="exact"/>
              <w:jc w:val="center"/>
              <w:rPr>
                <w:rFonts w:hint="default" w:ascii="Times New Roman" w:hAnsi="Times New Roman" w:cs="Times New Roman"/>
                <w:bCs/>
                <w:sz w:val="24"/>
                <w:szCs w:val="24"/>
              </w:rPr>
            </w:pPr>
            <w:r>
              <w:rPr>
                <w:rFonts w:hint="default" w:ascii="Times New Roman" w:hAnsi="Times New Roman" w:cs="Times New Roman"/>
                <w:bCs/>
                <w:sz w:val="24"/>
                <w:szCs w:val="24"/>
              </w:rPr>
              <w:t>索要单位</w:t>
            </w:r>
          </w:p>
        </w:tc>
        <w:tc>
          <w:tcPr>
            <w:tcW w:w="1215" w:type="dxa"/>
            <w:tcBorders>
              <w:top w:val="single" w:color="auto" w:sz="4" w:space="0"/>
            </w:tcBorders>
            <w:vAlign w:val="center"/>
          </w:tcPr>
          <w:p>
            <w:pPr>
              <w:spacing w:line="400" w:lineRule="exact"/>
              <w:jc w:val="center"/>
              <w:rPr>
                <w:rFonts w:hint="default" w:ascii="Times New Roman" w:hAnsi="Times New Roman" w:cs="Times New Roman"/>
                <w:bCs/>
                <w:sz w:val="24"/>
                <w:szCs w:val="24"/>
              </w:rPr>
            </w:pPr>
            <w:r>
              <w:rPr>
                <w:rFonts w:hint="default" w:ascii="Times New Roman" w:hAnsi="Times New Roman" w:cs="Times New Roman"/>
                <w:bCs/>
                <w:sz w:val="24"/>
                <w:szCs w:val="24"/>
              </w:rPr>
              <w:t>开具单位</w:t>
            </w:r>
          </w:p>
        </w:tc>
        <w:tc>
          <w:tcPr>
            <w:tcW w:w="1168" w:type="dxa"/>
            <w:tcBorders>
              <w:top w:val="single" w:color="auto" w:sz="4" w:space="0"/>
            </w:tcBorders>
            <w:vAlign w:val="center"/>
          </w:tcPr>
          <w:p>
            <w:pPr>
              <w:spacing w:line="400" w:lineRule="exact"/>
              <w:jc w:val="center"/>
              <w:rPr>
                <w:rFonts w:hint="default" w:ascii="Times New Roman" w:hAnsi="Times New Roman" w:eastAsia="宋体" w:cs="Times New Roman"/>
                <w:bCs/>
                <w:sz w:val="24"/>
                <w:szCs w:val="24"/>
                <w:lang w:eastAsia="zh-CN"/>
              </w:rPr>
            </w:pPr>
            <w:r>
              <w:rPr>
                <w:rFonts w:hint="default" w:ascii="Times New Roman" w:hAnsi="Times New Roman" w:cs="Times New Roman"/>
                <w:bCs/>
                <w:sz w:val="24"/>
                <w:szCs w:val="24"/>
              </w:rPr>
              <w:t>后续办理方式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jc w:val="center"/>
        </w:trPr>
        <w:tc>
          <w:tcPr>
            <w:tcW w:w="533" w:type="dxa"/>
            <w:vAlign w:val="center"/>
          </w:tcPr>
          <w:p>
            <w:pPr>
              <w:spacing w:line="260" w:lineRule="exact"/>
              <w:jc w:val="center"/>
              <w:rPr>
                <w:rFonts w:hint="default" w:ascii="Times New Roman" w:hAnsi="Times New Roman" w:eastAsia="仿宋_GB2312" w:cs="Times New Roman"/>
                <w:b w:val="0"/>
                <w:bCs/>
                <w:strike w:val="0"/>
                <w:dstrike w:val="0"/>
                <w:color w:val="auto"/>
                <w:sz w:val="20"/>
                <w:szCs w:val="20"/>
                <w:highlight w:val="none"/>
                <w:lang w:val="en-US" w:eastAsia="zh-CN"/>
              </w:rPr>
            </w:pPr>
            <w:r>
              <w:rPr>
                <w:rFonts w:hint="default" w:ascii="Times New Roman" w:hAnsi="Times New Roman" w:eastAsia="仿宋_GB2312" w:cs="Times New Roman"/>
                <w:b w:val="0"/>
                <w:bCs/>
                <w:strike w:val="0"/>
                <w:dstrike w:val="0"/>
                <w:color w:val="auto"/>
                <w:sz w:val="20"/>
                <w:szCs w:val="20"/>
                <w:highlight w:val="none"/>
                <w:lang w:val="en-US" w:eastAsia="zh-CN"/>
              </w:rPr>
              <w:t>1</w:t>
            </w:r>
          </w:p>
        </w:tc>
        <w:tc>
          <w:tcPr>
            <w:tcW w:w="1318"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机动车灭失证明（机动车灭失的）</w:t>
            </w:r>
          </w:p>
        </w:tc>
        <w:tc>
          <w:tcPr>
            <w:tcW w:w="1332"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机动车注销登记</w:t>
            </w:r>
          </w:p>
        </w:tc>
        <w:tc>
          <w:tcPr>
            <w:tcW w:w="5997"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 xml:space="preserve">《机动车登记规定》（2022年公安部164号令）第三十七条 机动车有下列情形之一的，机动车所有人应当向登记地车辆管理所申请注销登记：（三）因自然灾害、失火、交通事故等造成机动车灭失的。第三十九条  属于第三十七条第一款第三项、第四项、第五项规定情形，机动车所有人申请注销登记的，应当确认申请信息，并提交以下证明、凭证：（一）机动车所有人身份证明；（二）机动车登记证书；（三）机动车行驶证；申请人因机动车灭失办理注销登记的，应当书面承诺因自然灾害、失火、交通事故等导致机动车灭失，并承担不实承诺的法律责任。 </w:t>
            </w:r>
          </w:p>
        </w:tc>
        <w:tc>
          <w:tcPr>
            <w:tcW w:w="1560"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市、县公安机关交通管理部门</w:t>
            </w:r>
          </w:p>
        </w:tc>
        <w:tc>
          <w:tcPr>
            <w:tcW w:w="1215"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基层公安机关</w:t>
            </w:r>
          </w:p>
        </w:tc>
        <w:tc>
          <w:tcPr>
            <w:tcW w:w="1168" w:type="dxa"/>
            <w:vAlign w:val="center"/>
          </w:tcPr>
          <w:p>
            <w:pPr>
              <w:spacing w:line="260" w:lineRule="exact"/>
              <w:jc w:val="center"/>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1" w:hRule="atLeast"/>
          <w:jc w:val="center"/>
        </w:trPr>
        <w:tc>
          <w:tcPr>
            <w:tcW w:w="533" w:type="dxa"/>
            <w:vAlign w:val="center"/>
          </w:tcPr>
          <w:p>
            <w:pPr>
              <w:spacing w:line="260" w:lineRule="exact"/>
              <w:jc w:val="center"/>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2</w:t>
            </w:r>
          </w:p>
        </w:tc>
        <w:tc>
          <w:tcPr>
            <w:tcW w:w="1318"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公安机关出具的捡拾弃婴、儿童报案的证明（收养非社会福利机构抚养的查找不到生父母的弃婴、儿童的）</w:t>
            </w:r>
          </w:p>
        </w:tc>
        <w:tc>
          <w:tcPr>
            <w:tcW w:w="1332"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收养登记</w:t>
            </w:r>
          </w:p>
        </w:tc>
        <w:tc>
          <w:tcPr>
            <w:tcW w:w="5997"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依据2019年公安部《关于第二批不再要求提供有关规章设定证明事项和取消有关规范性文件设定证明事项的通知》</w:t>
            </w:r>
            <w:r>
              <w:rPr>
                <w:rFonts w:hint="default" w:ascii="Times New Roman" w:hAnsi="Times New Roman" w:eastAsia="仿宋_GB2312" w:cs="Times New Roman"/>
                <w:b w:val="0"/>
                <w:bCs/>
                <w:strike w:val="0"/>
                <w:dstrike w:val="0"/>
                <w:color w:val="auto"/>
                <w:sz w:val="20"/>
                <w:szCs w:val="20"/>
                <w:highlight w:val="none"/>
                <w:lang w:eastAsia="zh-CN"/>
              </w:rPr>
              <w:t>已不存在捡拾弃婴、儿童报案证明</w:t>
            </w:r>
            <w:r>
              <w:rPr>
                <w:rFonts w:hint="default" w:ascii="Times New Roman" w:hAnsi="Times New Roman" w:eastAsia="仿宋_GB2312" w:cs="Times New Roman"/>
                <w:b w:val="0"/>
                <w:bCs/>
                <w:strike w:val="0"/>
                <w:dstrike w:val="0"/>
                <w:color w:val="auto"/>
                <w:sz w:val="20"/>
                <w:szCs w:val="20"/>
                <w:highlight w:val="none"/>
              </w:rPr>
              <w:t>。</w:t>
            </w:r>
          </w:p>
        </w:tc>
        <w:tc>
          <w:tcPr>
            <w:tcW w:w="1560"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市、县民政部门</w:t>
            </w:r>
          </w:p>
        </w:tc>
        <w:tc>
          <w:tcPr>
            <w:tcW w:w="1215"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县级公安机关</w:t>
            </w:r>
          </w:p>
        </w:tc>
        <w:tc>
          <w:tcPr>
            <w:tcW w:w="1168"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方正仿宋_GBK" w:cs="Times New Roman"/>
                <w:sz w:val="20"/>
                <w:szCs w:val="20"/>
              </w:rPr>
              <w:t>取消，不再提交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533" w:type="dxa"/>
            <w:vAlign w:val="center"/>
          </w:tcPr>
          <w:p>
            <w:pPr>
              <w:spacing w:line="260" w:lineRule="exact"/>
              <w:jc w:val="center"/>
              <w:rPr>
                <w:rFonts w:hint="default" w:ascii="Times New Roman" w:hAnsi="Times New Roman" w:eastAsia="仿宋_GB2312" w:cs="Times New Roman"/>
                <w:b w:val="0"/>
                <w:bCs/>
                <w:strike w:val="0"/>
                <w:dstrike w:val="0"/>
                <w:color w:val="auto"/>
                <w:sz w:val="20"/>
                <w:szCs w:val="20"/>
                <w:highlight w:val="none"/>
                <w:lang w:val="en-US" w:eastAsia="zh-CN"/>
              </w:rPr>
            </w:pPr>
            <w:r>
              <w:rPr>
                <w:rFonts w:hint="default" w:ascii="Times New Roman" w:hAnsi="Times New Roman" w:eastAsia="仿宋_GB2312" w:cs="Times New Roman"/>
                <w:b w:val="0"/>
                <w:bCs/>
                <w:strike w:val="0"/>
                <w:dstrike w:val="0"/>
                <w:color w:val="auto"/>
                <w:sz w:val="20"/>
                <w:szCs w:val="20"/>
                <w:highlight w:val="none"/>
              </w:rPr>
              <w:t>3</w:t>
            </w:r>
          </w:p>
        </w:tc>
        <w:tc>
          <w:tcPr>
            <w:tcW w:w="1318"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亲子鉴定报告（其他证件无法证明的）</w:t>
            </w:r>
          </w:p>
        </w:tc>
        <w:tc>
          <w:tcPr>
            <w:tcW w:w="1332"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办理亲属关系公证</w:t>
            </w:r>
          </w:p>
        </w:tc>
        <w:tc>
          <w:tcPr>
            <w:tcW w:w="5997"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lang w:eastAsia="zh-CN"/>
              </w:rPr>
              <w:t>依据《司法部公共法律服务管理局 中国公证协会关于进一步做好公证证明材料清单管理工作的指导意见》司公通[2023]6号，已不存在亲子鉴定报告的证明。</w:t>
            </w:r>
          </w:p>
        </w:tc>
        <w:tc>
          <w:tcPr>
            <w:tcW w:w="1560"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公证机构</w:t>
            </w:r>
          </w:p>
        </w:tc>
        <w:tc>
          <w:tcPr>
            <w:tcW w:w="1215"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有资质的医疗机构</w:t>
            </w:r>
          </w:p>
        </w:tc>
        <w:tc>
          <w:tcPr>
            <w:tcW w:w="1168"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lang w:eastAsia="zh-CN"/>
              </w:rPr>
            </w:pPr>
            <w:r>
              <w:rPr>
                <w:rFonts w:hint="default" w:ascii="Times New Roman" w:hAnsi="Times New Roman" w:eastAsia="仿宋_GB2312" w:cs="Times New Roman"/>
                <w:b w:val="0"/>
                <w:bCs/>
                <w:strike w:val="0"/>
                <w:dstrike w:val="0"/>
                <w:color w:val="auto"/>
                <w:sz w:val="20"/>
                <w:szCs w:val="20"/>
                <w:highlight w:val="none"/>
              </w:rPr>
              <w:t>通过</w:t>
            </w:r>
            <w:r>
              <w:rPr>
                <w:rFonts w:hint="default" w:ascii="Times New Roman" w:hAnsi="Times New Roman" w:eastAsia="方正仿宋_GBK" w:cs="Times New Roman"/>
                <w:sz w:val="20"/>
                <w:szCs w:val="20"/>
              </w:rPr>
              <w:t>部门间</w:t>
            </w:r>
            <w:r>
              <w:rPr>
                <w:rFonts w:hint="default" w:ascii="Times New Roman" w:hAnsi="Times New Roman" w:eastAsia="仿宋_GB2312" w:cs="Times New Roman"/>
                <w:b w:val="0"/>
                <w:bCs/>
                <w:strike w:val="0"/>
                <w:dstrike w:val="0"/>
                <w:color w:val="auto"/>
                <w:sz w:val="20"/>
                <w:szCs w:val="20"/>
                <w:highlight w:val="none"/>
                <w:lang w:eastAsia="zh-CN"/>
              </w:rPr>
              <w:t>信息共享</w:t>
            </w:r>
            <w:r>
              <w:rPr>
                <w:rFonts w:hint="default" w:ascii="Times New Roman" w:hAnsi="Times New Roman" w:eastAsia="方正仿宋_GBK" w:cs="Times New Roman"/>
                <w:sz w:val="20"/>
                <w:szCs w:val="20"/>
              </w:rPr>
              <w:t>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533" w:type="dxa"/>
            <w:vAlign w:val="center"/>
          </w:tcPr>
          <w:p>
            <w:pPr>
              <w:spacing w:line="260" w:lineRule="exact"/>
              <w:jc w:val="center"/>
              <w:rPr>
                <w:rFonts w:hint="default" w:ascii="Times New Roman" w:hAnsi="Times New Roman" w:eastAsia="仿宋_GB2312" w:cs="Times New Roman"/>
                <w:b w:val="0"/>
                <w:bCs/>
                <w:strike w:val="0"/>
                <w:dstrike w:val="0"/>
                <w:color w:val="auto"/>
                <w:sz w:val="20"/>
                <w:szCs w:val="20"/>
                <w:highlight w:val="none"/>
                <w:lang w:val="en-US" w:eastAsia="zh-CN"/>
              </w:rPr>
            </w:pPr>
            <w:r>
              <w:rPr>
                <w:rFonts w:hint="default" w:ascii="Times New Roman" w:hAnsi="Times New Roman" w:eastAsia="仿宋_GB2312" w:cs="Times New Roman"/>
                <w:b w:val="0"/>
                <w:bCs/>
                <w:strike w:val="0"/>
                <w:dstrike w:val="0"/>
                <w:color w:val="auto"/>
                <w:sz w:val="20"/>
                <w:szCs w:val="20"/>
                <w:highlight w:val="none"/>
                <w:lang w:val="en-US" w:eastAsia="zh-CN"/>
              </w:rPr>
              <w:t>4</w:t>
            </w:r>
          </w:p>
        </w:tc>
        <w:tc>
          <w:tcPr>
            <w:tcW w:w="1318"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中国驻当地大使馆认证的境外公证材料 （境外出具证明材料）</w:t>
            </w:r>
          </w:p>
        </w:tc>
        <w:tc>
          <w:tcPr>
            <w:tcW w:w="1332"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办理亲属关系公证</w:t>
            </w:r>
          </w:p>
        </w:tc>
        <w:tc>
          <w:tcPr>
            <w:tcW w:w="5997"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lang w:eastAsia="zh-CN"/>
              </w:rPr>
              <w:t>依据《司法部公共法律服务管理局 中国公证协会关于进一步做好公证证明材料清单管理工作的指导意见》司公通[2023]6号，已不存中国驻当地大使馆认证的境外公证材料的证明。</w:t>
            </w:r>
          </w:p>
        </w:tc>
        <w:tc>
          <w:tcPr>
            <w:tcW w:w="1560"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公证机构</w:t>
            </w:r>
          </w:p>
        </w:tc>
        <w:tc>
          <w:tcPr>
            <w:tcW w:w="1215"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中国驻当地大使馆</w:t>
            </w:r>
          </w:p>
        </w:tc>
        <w:tc>
          <w:tcPr>
            <w:tcW w:w="1168"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lang w:eastAsia="zh-CN"/>
              </w:rPr>
            </w:pPr>
            <w:r>
              <w:rPr>
                <w:rFonts w:hint="default" w:ascii="Times New Roman" w:hAnsi="Times New Roman" w:eastAsia="仿宋_GB2312" w:cs="Times New Roman"/>
                <w:b w:val="0"/>
                <w:bCs/>
                <w:strike w:val="0"/>
                <w:dstrike w:val="0"/>
                <w:color w:val="auto"/>
                <w:sz w:val="20"/>
                <w:szCs w:val="20"/>
                <w:highlight w:val="none"/>
              </w:rPr>
              <w:t>通过</w:t>
            </w:r>
            <w:r>
              <w:rPr>
                <w:rFonts w:hint="default" w:ascii="Times New Roman" w:hAnsi="Times New Roman" w:eastAsia="方正仿宋_GBK" w:cs="Times New Roman"/>
                <w:sz w:val="20"/>
                <w:szCs w:val="20"/>
              </w:rPr>
              <w:t>部门间</w:t>
            </w:r>
            <w:r>
              <w:rPr>
                <w:rFonts w:hint="default" w:ascii="Times New Roman" w:hAnsi="Times New Roman" w:eastAsia="仿宋_GB2312" w:cs="Times New Roman"/>
                <w:b w:val="0"/>
                <w:bCs/>
                <w:strike w:val="0"/>
                <w:dstrike w:val="0"/>
                <w:color w:val="auto"/>
                <w:sz w:val="20"/>
                <w:szCs w:val="20"/>
                <w:highlight w:val="none"/>
                <w:lang w:eastAsia="zh-CN"/>
              </w:rPr>
              <w:t>信息共享</w:t>
            </w:r>
            <w:r>
              <w:rPr>
                <w:rFonts w:hint="default" w:ascii="Times New Roman" w:hAnsi="Times New Roman" w:eastAsia="方正仿宋_GBK" w:cs="Times New Roman"/>
                <w:sz w:val="20"/>
                <w:szCs w:val="20"/>
              </w:rPr>
              <w:t>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533" w:type="dxa"/>
            <w:vAlign w:val="center"/>
          </w:tcPr>
          <w:p>
            <w:pPr>
              <w:spacing w:line="260" w:lineRule="exact"/>
              <w:jc w:val="center"/>
              <w:rPr>
                <w:rFonts w:hint="default" w:ascii="Times New Roman" w:hAnsi="Times New Roman" w:eastAsia="仿宋_GB2312" w:cs="Times New Roman"/>
                <w:b w:val="0"/>
                <w:bCs/>
                <w:strike w:val="0"/>
                <w:dstrike w:val="0"/>
                <w:color w:val="auto"/>
                <w:sz w:val="20"/>
                <w:szCs w:val="20"/>
                <w:highlight w:val="none"/>
                <w:lang w:val="en-US" w:eastAsia="zh-CN"/>
              </w:rPr>
            </w:pPr>
            <w:r>
              <w:rPr>
                <w:rFonts w:hint="default" w:ascii="Times New Roman" w:hAnsi="Times New Roman" w:eastAsia="仿宋_GB2312" w:cs="Times New Roman"/>
                <w:b w:val="0"/>
                <w:bCs/>
                <w:strike w:val="0"/>
                <w:dstrike w:val="0"/>
                <w:color w:val="auto"/>
                <w:sz w:val="20"/>
                <w:szCs w:val="20"/>
                <w:highlight w:val="none"/>
                <w:lang w:val="en-US" w:eastAsia="zh-CN"/>
              </w:rPr>
              <w:t>5</w:t>
            </w:r>
          </w:p>
        </w:tc>
        <w:tc>
          <w:tcPr>
            <w:tcW w:w="1318"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公安机关外事部门证明（外国人）</w:t>
            </w:r>
          </w:p>
        </w:tc>
        <w:tc>
          <w:tcPr>
            <w:tcW w:w="1332"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办理死亡公证</w:t>
            </w:r>
          </w:p>
        </w:tc>
        <w:tc>
          <w:tcPr>
            <w:tcW w:w="5997"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lang w:eastAsia="zh-CN"/>
              </w:rPr>
              <w:t>依据《司法部公共法律服务管理局 中国公证协会关于进一步做好公证证明材料清单管理工作的指导意见》司公通[2023]6号，已不存公安机关外事部门的证明。</w:t>
            </w:r>
          </w:p>
        </w:tc>
        <w:tc>
          <w:tcPr>
            <w:tcW w:w="1560"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公证机构</w:t>
            </w:r>
          </w:p>
        </w:tc>
        <w:tc>
          <w:tcPr>
            <w:tcW w:w="1215"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公安机关外事部门</w:t>
            </w:r>
          </w:p>
        </w:tc>
        <w:tc>
          <w:tcPr>
            <w:tcW w:w="1168"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lang w:eastAsia="zh-CN"/>
              </w:rPr>
            </w:pPr>
            <w:r>
              <w:rPr>
                <w:rFonts w:hint="default" w:ascii="Times New Roman" w:hAnsi="Times New Roman" w:eastAsia="仿宋_GB2312" w:cs="Times New Roman"/>
                <w:b w:val="0"/>
                <w:bCs/>
                <w:strike w:val="0"/>
                <w:dstrike w:val="0"/>
                <w:color w:val="auto"/>
                <w:sz w:val="20"/>
                <w:szCs w:val="20"/>
                <w:highlight w:val="none"/>
              </w:rPr>
              <w:t>通过</w:t>
            </w:r>
            <w:r>
              <w:rPr>
                <w:rFonts w:hint="default" w:ascii="Times New Roman" w:hAnsi="Times New Roman" w:eastAsia="方正仿宋_GBK" w:cs="Times New Roman"/>
                <w:sz w:val="20"/>
                <w:szCs w:val="20"/>
              </w:rPr>
              <w:t>部门间</w:t>
            </w:r>
            <w:r>
              <w:rPr>
                <w:rFonts w:hint="default" w:ascii="Times New Roman" w:hAnsi="Times New Roman" w:eastAsia="仿宋_GB2312" w:cs="Times New Roman"/>
                <w:b w:val="0"/>
                <w:bCs/>
                <w:strike w:val="0"/>
                <w:dstrike w:val="0"/>
                <w:color w:val="auto"/>
                <w:sz w:val="20"/>
                <w:szCs w:val="20"/>
                <w:highlight w:val="none"/>
                <w:lang w:eastAsia="zh-CN"/>
              </w:rPr>
              <w:t>信息共享</w:t>
            </w:r>
            <w:r>
              <w:rPr>
                <w:rFonts w:hint="default" w:ascii="Times New Roman" w:hAnsi="Times New Roman" w:eastAsia="方正仿宋_GBK" w:cs="Times New Roman"/>
                <w:sz w:val="20"/>
                <w:szCs w:val="20"/>
              </w:rPr>
              <w:t>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jc w:val="center"/>
        </w:trPr>
        <w:tc>
          <w:tcPr>
            <w:tcW w:w="533" w:type="dxa"/>
            <w:vAlign w:val="center"/>
          </w:tcPr>
          <w:p>
            <w:pPr>
              <w:spacing w:line="260" w:lineRule="exact"/>
              <w:jc w:val="center"/>
              <w:rPr>
                <w:rFonts w:hint="default" w:ascii="Times New Roman" w:hAnsi="Times New Roman" w:eastAsia="仿宋_GB2312" w:cs="Times New Roman"/>
                <w:b w:val="0"/>
                <w:bCs/>
                <w:strike w:val="0"/>
                <w:dstrike w:val="0"/>
                <w:color w:val="auto"/>
                <w:sz w:val="20"/>
                <w:szCs w:val="20"/>
                <w:highlight w:val="none"/>
                <w:lang w:val="en-US" w:eastAsia="zh-CN"/>
              </w:rPr>
            </w:pPr>
            <w:r>
              <w:rPr>
                <w:rFonts w:hint="default" w:ascii="Times New Roman" w:hAnsi="Times New Roman" w:eastAsia="仿宋_GB2312" w:cs="Times New Roman"/>
                <w:b w:val="0"/>
                <w:bCs/>
                <w:strike w:val="0"/>
                <w:dstrike w:val="0"/>
                <w:color w:val="auto"/>
                <w:sz w:val="20"/>
                <w:szCs w:val="20"/>
                <w:highlight w:val="none"/>
                <w:lang w:val="en-US" w:eastAsia="zh-CN"/>
              </w:rPr>
              <w:t>6</w:t>
            </w:r>
          </w:p>
        </w:tc>
        <w:tc>
          <w:tcPr>
            <w:tcW w:w="1318"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经济困难证明</w:t>
            </w:r>
          </w:p>
        </w:tc>
        <w:tc>
          <w:tcPr>
            <w:tcW w:w="1332"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申请法律援助</w:t>
            </w:r>
          </w:p>
        </w:tc>
        <w:tc>
          <w:tcPr>
            <w:tcW w:w="5997"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《法律援助法》第四十一条 因经济困难申请法律援助的，申请人应当如实说明经济困难状况。法律援助机构核查申请人的经济困难状况，可以通过信息共享查询，或者由申请人进行个人诚信承诺。法律援助机构开展核查工作，有关部门、单位、村民委员会、居民委员会和个人应当予以配合。</w:t>
            </w:r>
          </w:p>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《宁夏回族自治区法律援助条例》第十五条</w:t>
            </w:r>
            <w:r>
              <w:rPr>
                <w:rFonts w:hint="default" w:ascii="Times New Roman" w:hAnsi="Times New Roman" w:eastAsia="仿宋_GB2312" w:cs="Times New Roman"/>
                <w:b w:val="0"/>
                <w:bCs/>
                <w:strike w:val="0"/>
                <w:dstrike w:val="0"/>
                <w:color w:val="auto"/>
                <w:sz w:val="20"/>
                <w:szCs w:val="20"/>
                <w:highlight w:val="none"/>
                <w:lang w:val="en-US" w:eastAsia="zh-CN"/>
              </w:rPr>
              <w:t xml:space="preserve"> </w:t>
            </w:r>
            <w:r>
              <w:rPr>
                <w:rFonts w:hint="default" w:ascii="Times New Roman" w:hAnsi="Times New Roman" w:eastAsia="仿宋_GB2312" w:cs="Times New Roman"/>
                <w:b w:val="0"/>
                <w:bCs/>
                <w:strike w:val="0"/>
                <w:dstrike w:val="0"/>
                <w:color w:val="auto"/>
                <w:sz w:val="20"/>
                <w:szCs w:val="20"/>
                <w:highlight w:val="none"/>
              </w:rPr>
              <w:t>公民申请代理、刑事辩护等法律援助，应当向法律援助机构提供下列证明、材料：（一）身份证、户口簿或者其他合法有效的身份证明；（二）乡（镇）人民政府、街道办事处、县 （市、区）民政部门等有关主管部门出具的能够证明申请人经济困难的材料；（三）与所申请法律援助事项有关的材料。可以即时办理的法律咨询等法律援助事项，法律援助机构应当即时办理。</w:t>
            </w:r>
          </w:p>
        </w:tc>
        <w:tc>
          <w:tcPr>
            <w:tcW w:w="1560"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市、县司法行政部门</w:t>
            </w:r>
          </w:p>
        </w:tc>
        <w:tc>
          <w:tcPr>
            <w:tcW w:w="1215"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乡镇街道办事处或民政部门</w:t>
            </w:r>
          </w:p>
        </w:tc>
        <w:tc>
          <w:tcPr>
            <w:tcW w:w="1168" w:type="dxa"/>
            <w:vAlign w:val="center"/>
          </w:tcPr>
          <w:p>
            <w:pPr>
              <w:spacing w:line="260" w:lineRule="exact"/>
              <w:jc w:val="both"/>
              <w:rPr>
                <w:rFonts w:hint="default" w:ascii="Times New Roman" w:hAnsi="Times New Roman" w:eastAsia="仿宋_GB2312" w:cs="Times New Roman"/>
                <w:b w:val="0"/>
                <w:bCs/>
                <w:strike w:val="0"/>
                <w:dstrike w:val="0"/>
                <w:color w:val="auto"/>
                <w:sz w:val="20"/>
                <w:szCs w:val="20"/>
                <w:highlight w:val="none"/>
                <w:lang w:eastAsia="zh-CN"/>
              </w:rPr>
            </w:pPr>
            <w:r>
              <w:rPr>
                <w:rFonts w:hint="default" w:ascii="Times New Roman" w:hAnsi="Times New Roman" w:eastAsia="仿宋_GB2312" w:cs="Times New Roman"/>
                <w:b w:val="0"/>
                <w:bCs/>
                <w:strike w:val="0"/>
                <w:dstrike w:val="0"/>
                <w:color w:val="auto"/>
                <w:sz w:val="20"/>
                <w:szCs w:val="20"/>
                <w:highlight w:val="none"/>
              </w:rPr>
              <w:t>通过信息共享查询，或者由申请人进行个人诚信承诺</w:t>
            </w:r>
            <w:r>
              <w:rPr>
                <w:rFonts w:hint="default" w:ascii="Times New Roman" w:hAnsi="Times New Roman" w:eastAsia="仿宋_GB2312" w:cs="Times New Roman"/>
                <w:b w:val="0"/>
                <w:bCs/>
                <w:strike w:val="0"/>
                <w:dstrike w:val="0"/>
                <w:color w:val="auto"/>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533" w:type="dxa"/>
            <w:vAlign w:val="center"/>
          </w:tcPr>
          <w:p>
            <w:pPr>
              <w:spacing w:line="260" w:lineRule="exact"/>
              <w:jc w:val="center"/>
              <w:rPr>
                <w:rFonts w:hint="default" w:ascii="Times New Roman" w:hAnsi="Times New Roman" w:eastAsia="仿宋_GB2312" w:cs="Times New Roman"/>
                <w:b w:val="0"/>
                <w:bCs/>
                <w:strike w:val="0"/>
                <w:dstrike w:val="0"/>
                <w:color w:val="auto"/>
                <w:sz w:val="20"/>
                <w:szCs w:val="20"/>
                <w:highlight w:val="none"/>
                <w:lang w:val="en-US" w:eastAsia="zh-CN"/>
              </w:rPr>
            </w:pPr>
            <w:r>
              <w:rPr>
                <w:rFonts w:hint="default" w:ascii="Times New Roman" w:hAnsi="Times New Roman" w:eastAsia="仿宋_GB2312" w:cs="Times New Roman"/>
                <w:b w:val="0"/>
                <w:bCs/>
                <w:strike w:val="0"/>
                <w:dstrike w:val="0"/>
                <w:color w:val="auto"/>
                <w:sz w:val="20"/>
                <w:szCs w:val="20"/>
                <w:highlight w:val="none"/>
                <w:lang w:val="en-US" w:eastAsia="zh-CN"/>
              </w:rPr>
              <w:t>7</w:t>
            </w:r>
          </w:p>
        </w:tc>
        <w:tc>
          <w:tcPr>
            <w:tcW w:w="1318"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政府规划部门的批准文件</w:t>
            </w:r>
          </w:p>
        </w:tc>
        <w:tc>
          <w:tcPr>
            <w:tcW w:w="1332"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移动式压力容器、气瓶充装单位许可</w:t>
            </w:r>
          </w:p>
        </w:tc>
        <w:tc>
          <w:tcPr>
            <w:tcW w:w="5997"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《自治区市场监管厅关于发布实施移动式压力容器气瓶充装许可和气瓶 检验机构核准工作的通告》（2023年第71号）“经自治区人民政府意，现将自治区人民政府于2016年1月1日下放至设区的市实施的“移动式压力容器、气瓶充装许可”事项调整为省级许可事项，由自治区市场监管厅负责实施。”</w:t>
            </w:r>
          </w:p>
        </w:tc>
        <w:tc>
          <w:tcPr>
            <w:tcW w:w="1560"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自治区行政审批部门</w:t>
            </w:r>
          </w:p>
        </w:tc>
        <w:tc>
          <w:tcPr>
            <w:tcW w:w="1215"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市、县自然资源部门</w:t>
            </w:r>
          </w:p>
        </w:tc>
        <w:tc>
          <w:tcPr>
            <w:tcW w:w="1168"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取消，不再提交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jc w:val="center"/>
        </w:trPr>
        <w:tc>
          <w:tcPr>
            <w:tcW w:w="533" w:type="dxa"/>
            <w:vAlign w:val="center"/>
          </w:tcPr>
          <w:p>
            <w:pPr>
              <w:spacing w:line="260" w:lineRule="exact"/>
              <w:jc w:val="center"/>
              <w:rPr>
                <w:rFonts w:hint="default" w:ascii="Times New Roman" w:hAnsi="Times New Roman" w:eastAsia="仿宋_GB2312" w:cs="Times New Roman"/>
                <w:b w:val="0"/>
                <w:bCs/>
                <w:strike w:val="0"/>
                <w:dstrike w:val="0"/>
                <w:color w:val="auto"/>
                <w:sz w:val="20"/>
                <w:szCs w:val="20"/>
                <w:highlight w:val="none"/>
                <w:lang w:val="en-US" w:eastAsia="zh-CN"/>
              </w:rPr>
            </w:pPr>
            <w:r>
              <w:rPr>
                <w:rFonts w:hint="default" w:ascii="Times New Roman" w:hAnsi="Times New Roman" w:eastAsia="仿宋_GB2312" w:cs="Times New Roman"/>
                <w:b w:val="0"/>
                <w:bCs/>
                <w:strike w:val="0"/>
                <w:dstrike w:val="0"/>
                <w:color w:val="auto"/>
                <w:sz w:val="20"/>
                <w:szCs w:val="20"/>
                <w:highlight w:val="none"/>
                <w:lang w:val="en-US" w:eastAsia="zh-CN"/>
              </w:rPr>
              <w:t>8</w:t>
            </w:r>
          </w:p>
        </w:tc>
        <w:tc>
          <w:tcPr>
            <w:tcW w:w="1318"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专职技术人员、专职技术负责人、质量控制负责人的工作经历证明</w:t>
            </w:r>
          </w:p>
        </w:tc>
        <w:tc>
          <w:tcPr>
            <w:tcW w:w="1332"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丙级职业卫生技术服务机构资质认定</w:t>
            </w:r>
          </w:p>
        </w:tc>
        <w:tc>
          <w:tcPr>
            <w:tcW w:w="5997"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《职业卫生技术服务机构管理办法》（中华人民共和国国家卫生健康委员会令第4号）第五条　职业卫生技术服务机构的资质等级分为甲级和乙级两个等级。甲级资质由国家卫生健康委认可及颁发证书。乙级资质由省、自治区、直辖市卫生健康主管部门认可及颁发证书。国家卫生健康委和省、自治区、直辖市卫生健康主管部门统称资质认可机关。</w:t>
            </w:r>
          </w:p>
        </w:tc>
        <w:tc>
          <w:tcPr>
            <w:tcW w:w="1560"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市卫生健康委</w:t>
            </w:r>
          </w:p>
        </w:tc>
        <w:tc>
          <w:tcPr>
            <w:tcW w:w="1215"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服务机构</w:t>
            </w:r>
          </w:p>
        </w:tc>
        <w:tc>
          <w:tcPr>
            <w:tcW w:w="1168"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取消，不再提交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6" w:hRule="atLeast"/>
          <w:jc w:val="center"/>
        </w:trPr>
        <w:tc>
          <w:tcPr>
            <w:tcW w:w="533" w:type="dxa"/>
            <w:vAlign w:val="center"/>
          </w:tcPr>
          <w:p>
            <w:pPr>
              <w:spacing w:line="260" w:lineRule="exact"/>
              <w:jc w:val="center"/>
              <w:rPr>
                <w:rFonts w:hint="default" w:ascii="Times New Roman" w:hAnsi="Times New Roman" w:eastAsia="仿宋_GB2312" w:cs="Times New Roman"/>
                <w:b w:val="0"/>
                <w:bCs/>
                <w:strike w:val="0"/>
                <w:dstrike w:val="0"/>
                <w:color w:val="auto"/>
                <w:sz w:val="20"/>
                <w:szCs w:val="20"/>
                <w:highlight w:val="none"/>
                <w:lang w:val="en-US" w:eastAsia="zh-CN"/>
              </w:rPr>
            </w:pPr>
            <w:r>
              <w:rPr>
                <w:rFonts w:hint="default" w:ascii="Times New Roman" w:hAnsi="Times New Roman" w:eastAsia="仿宋_GB2312" w:cs="Times New Roman"/>
                <w:b w:val="0"/>
                <w:bCs/>
                <w:strike w:val="0"/>
                <w:dstrike w:val="0"/>
                <w:color w:val="auto"/>
                <w:sz w:val="20"/>
                <w:szCs w:val="20"/>
                <w:highlight w:val="none"/>
                <w:lang w:val="en-US" w:eastAsia="zh-CN"/>
              </w:rPr>
              <w:t>9</w:t>
            </w:r>
          </w:p>
        </w:tc>
        <w:tc>
          <w:tcPr>
            <w:tcW w:w="1318"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 xml:space="preserve"> 医院证明                       </w:t>
            </w:r>
          </w:p>
        </w:tc>
        <w:tc>
          <w:tcPr>
            <w:tcW w:w="1332"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住房公积金提取（丧失劳动能力并解除劳动关系）</w:t>
            </w:r>
          </w:p>
        </w:tc>
        <w:tc>
          <w:tcPr>
            <w:tcW w:w="5997"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《住房公积金提取业务标（GB/T51353-2019）4.1.5：“提取业务证明材料应符合下列规定：9 完全丧失劳动能力，并与单位终止劳动关系的，应提供完全丧失劳动能力鉴定结论证明材料和单位出具的解除劳动合同通知或终止劳动合同通知。”</w:t>
            </w:r>
          </w:p>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《宁夏回族自治区住房公积金业务操作规范（试行 2022年版）》2.2.13 完全丧失劳动能力并与单位终止劳动关系提取2.2.13.3 受理条件1 完全丧失劳动能力并与单位终止劳动关系的；2 无未结清住房公积金贷款或异地住房公积金贷款的；3 个人账户状态为封存的。以上《住房公积金提取业务标准》《宁夏回族自治区住房公积金业务操作规范（试行 2022年版）》</w:t>
            </w:r>
          </w:p>
          <w:p>
            <w:pPr>
              <w:spacing w:line="260" w:lineRule="exact"/>
              <w:rPr>
                <w:rFonts w:hint="default" w:ascii="Times New Roman" w:hAnsi="Times New Roman" w:eastAsia="仿宋_GB2312" w:cs="Times New Roman"/>
                <w:b w:val="0"/>
                <w:bCs/>
                <w:strike w:val="0"/>
                <w:dstrike w:val="0"/>
                <w:color w:val="auto"/>
                <w:sz w:val="20"/>
                <w:szCs w:val="20"/>
                <w:highlight w:val="none"/>
                <w:lang w:val="en-US" w:eastAsia="zh-CN"/>
              </w:rPr>
            </w:pPr>
          </w:p>
        </w:tc>
        <w:tc>
          <w:tcPr>
            <w:tcW w:w="1560"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市住房公积金管理中心</w:t>
            </w:r>
          </w:p>
        </w:tc>
        <w:tc>
          <w:tcPr>
            <w:tcW w:w="1215"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县级以上医院</w:t>
            </w:r>
          </w:p>
        </w:tc>
        <w:tc>
          <w:tcPr>
            <w:tcW w:w="1168"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取消，不再提交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533" w:type="dxa"/>
            <w:vAlign w:val="center"/>
          </w:tcPr>
          <w:p>
            <w:pPr>
              <w:spacing w:line="260" w:lineRule="exact"/>
              <w:jc w:val="center"/>
              <w:rPr>
                <w:rFonts w:hint="default" w:ascii="Times New Roman" w:hAnsi="Times New Roman" w:eastAsia="仿宋_GB2312" w:cs="Times New Roman"/>
                <w:b w:val="0"/>
                <w:bCs/>
                <w:strike w:val="0"/>
                <w:dstrike w:val="0"/>
                <w:color w:val="auto"/>
                <w:sz w:val="20"/>
                <w:szCs w:val="20"/>
                <w:highlight w:val="none"/>
                <w:lang w:val="en-US" w:eastAsia="zh-CN"/>
              </w:rPr>
            </w:pPr>
            <w:r>
              <w:rPr>
                <w:rFonts w:hint="default" w:ascii="Times New Roman" w:hAnsi="Times New Roman" w:eastAsia="仿宋_GB2312" w:cs="Times New Roman"/>
                <w:b w:val="0"/>
                <w:bCs/>
                <w:strike w:val="0"/>
                <w:dstrike w:val="0"/>
                <w:color w:val="auto"/>
                <w:sz w:val="20"/>
                <w:szCs w:val="20"/>
                <w:highlight w:val="none"/>
                <w:lang w:val="en-US" w:eastAsia="zh-CN"/>
              </w:rPr>
              <w:t>10</w:t>
            </w:r>
          </w:p>
        </w:tc>
        <w:tc>
          <w:tcPr>
            <w:tcW w:w="1318"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经审核的企业资产负债和损益情况资料</w:t>
            </w:r>
          </w:p>
        </w:tc>
        <w:tc>
          <w:tcPr>
            <w:tcW w:w="1332"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储备粮储存企业资格认定</w:t>
            </w:r>
          </w:p>
        </w:tc>
        <w:tc>
          <w:tcPr>
            <w:tcW w:w="5997"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lang w:val="en-US" w:eastAsia="zh-CN"/>
              </w:rPr>
            </w:pPr>
            <w:r>
              <w:rPr>
                <w:rFonts w:hint="default" w:ascii="Times New Roman" w:hAnsi="Times New Roman" w:eastAsia="仿宋_GB2312" w:cs="Times New Roman"/>
                <w:b w:val="0"/>
                <w:bCs/>
                <w:strike w:val="0"/>
                <w:dstrike w:val="0"/>
                <w:color w:val="auto"/>
                <w:sz w:val="20"/>
                <w:szCs w:val="20"/>
                <w:highlight w:val="none"/>
                <w:lang w:val="en-US" w:eastAsia="zh-CN"/>
              </w:rPr>
              <w:t>《宁夏回族自治区地方储备粮管理条例》（2023年）</w:t>
            </w:r>
          </w:p>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第十八条　储备粮原粮承储主体应当具备以下条件：</w:t>
            </w:r>
          </w:p>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（一）仓库容量达到自治区规定的规模，仓库条件符合国家有关粮食储存标准和技术规范的要求；</w:t>
            </w:r>
          </w:p>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（二）具有与粮食储存功能、仓型、进出粮方式、粮食品种、储粮周期等相适应的仓储设备；</w:t>
            </w:r>
          </w:p>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（三）具有符合国家标准的储备粮质量等级检测仪器和检测场所，具备检测粮温、水分、害虫密度的条件；</w:t>
            </w:r>
          </w:p>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（四）具有经过专业培训，掌握粮食保管、质量检验和防治等相应知识技能的人员；</w:t>
            </w:r>
          </w:p>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（五）经营管理和信誉良好，无严重违法经营记录；</w:t>
            </w:r>
          </w:p>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（六）法律、法规、规章规定的其他条件。</w:t>
            </w:r>
          </w:p>
          <w:p>
            <w:pPr>
              <w:spacing w:line="260" w:lineRule="exact"/>
              <w:rPr>
                <w:rFonts w:hint="default" w:ascii="Times New Roman" w:hAnsi="Times New Roman" w:eastAsia="仿宋_GB2312" w:cs="Times New Roman"/>
                <w:b w:val="0"/>
                <w:bCs/>
                <w:strike w:val="0"/>
                <w:dstrike w:val="0"/>
                <w:color w:val="auto"/>
                <w:sz w:val="20"/>
                <w:szCs w:val="20"/>
                <w:highlight w:val="none"/>
                <w:lang w:eastAsia="zh-CN"/>
              </w:rPr>
            </w:pPr>
            <w:r>
              <w:rPr>
                <w:rFonts w:hint="default" w:ascii="Times New Roman" w:hAnsi="Times New Roman" w:eastAsia="仿宋_GB2312" w:cs="Times New Roman"/>
                <w:b w:val="0"/>
                <w:bCs/>
                <w:strike w:val="0"/>
                <w:dstrike w:val="0"/>
                <w:color w:val="auto"/>
                <w:sz w:val="20"/>
                <w:szCs w:val="20"/>
                <w:highlight w:val="none"/>
                <w:lang w:val="en-US" w:eastAsia="zh-CN"/>
              </w:rPr>
              <w:t xml:space="preserve">   </w:t>
            </w:r>
          </w:p>
        </w:tc>
        <w:tc>
          <w:tcPr>
            <w:tcW w:w="1560"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市、县粮食和物资储备局</w:t>
            </w:r>
          </w:p>
        </w:tc>
        <w:tc>
          <w:tcPr>
            <w:tcW w:w="1215"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审计部门或者资产评估机构</w:t>
            </w:r>
          </w:p>
        </w:tc>
        <w:tc>
          <w:tcPr>
            <w:tcW w:w="1168"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取消，不再提交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jc w:val="center"/>
        </w:trPr>
        <w:tc>
          <w:tcPr>
            <w:tcW w:w="533" w:type="dxa"/>
            <w:vAlign w:val="center"/>
          </w:tcPr>
          <w:p>
            <w:pPr>
              <w:spacing w:line="260" w:lineRule="exact"/>
              <w:jc w:val="center"/>
              <w:rPr>
                <w:rFonts w:hint="default" w:ascii="Times New Roman" w:hAnsi="Times New Roman" w:eastAsia="仿宋_GB2312" w:cs="Times New Roman"/>
                <w:b w:val="0"/>
                <w:bCs/>
                <w:strike w:val="0"/>
                <w:dstrike w:val="0"/>
                <w:color w:val="auto"/>
                <w:sz w:val="20"/>
                <w:szCs w:val="20"/>
                <w:highlight w:val="none"/>
                <w:lang w:val="en-US" w:eastAsia="zh-CN"/>
              </w:rPr>
            </w:pPr>
            <w:r>
              <w:rPr>
                <w:rFonts w:hint="default" w:ascii="Times New Roman" w:hAnsi="Times New Roman" w:eastAsia="仿宋_GB2312" w:cs="Times New Roman"/>
                <w:b w:val="0"/>
                <w:bCs/>
                <w:strike w:val="0"/>
                <w:dstrike w:val="0"/>
                <w:color w:val="auto"/>
                <w:sz w:val="20"/>
                <w:szCs w:val="20"/>
                <w:highlight w:val="none"/>
                <w:lang w:val="en-US" w:eastAsia="zh-CN"/>
              </w:rPr>
              <w:t>11</w:t>
            </w:r>
          </w:p>
        </w:tc>
        <w:tc>
          <w:tcPr>
            <w:tcW w:w="1318"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银行资信</w:t>
            </w:r>
          </w:p>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证明</w:t>
            </w:r>
          </w:p>
        </w:tc>
        <w:tc>
          <w:tcPr>
            <w:tcW w:w="1332"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储备粮储存企业资格认定</w:t>
            </w:r>
          </w:p>
        </w:tc>
        <w:tc>
          <w:tcPr>
            <w:tcW w:w="5997"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lang w:val="en-US" w:eastAsia="zh-CN"/>
              </w:rPr>
            </w:pPr>
            <w:r>
              <w:rPr>
                <w:rFonts w:hint="default" w:ascii="Times New Roman" w:hAnsi="Times New Roman" w:eastAsia="仿宋_GB2312" w:cs="Times New Roman"/>
                <w:b w:val="0"/>
                <w:bCs/>
                <w:strike w:val="0"/>
                <w:dstrike w:val="0"/>
                <w:color w:val="auto"/>
                <w:sz w:val="20"/>
                <w:szCs w:val="20"/>
                <w:highlight w:val="none"/>
                <w:lang w:val="en-US" w:eastAsia="zh-CN"/>
              </w:rPr>
              <w:t>《宁夏回族自治区地方储备粮管理条例》（2023年）</w:t>
            </w:r>
          </w:p>
          <w:p>
            <w:pPr>
              <w:spacing w:line="260" w:lineRule="exact"/>
              <w:rPr>
                <w:rFonts w:hint="default" w:ascii="Times New Roman" w:hAnsi="Times New Roman" w:eastAsia="仿宋_GB2312" w:cs="Times New Roman"/>
                <w:b w:val="0"/>
                <w:bCs/>
                <w:strike w:val="0"/>
                <w:dstrike w:val="0"/>
                <w:color w:val="auto"/>
                <w:sz w:val="20"/>
                <w:szCs w:val="20"/>
                <w:highlight w:val="none"/>
                <w:lang w:val="en-US" w:eastAsia="zh-CN"/>
              </w:rPr>
            </w:pPr>
          </w:p>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第十八条　储备粮原粮承储主体应当具备以下条件：</w:t>
            </w:r>
          </w:p>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（一）仓库容量达到自治区规定的规模，仓库条件符合国家有关粮食储存标准和技术规范的要求；</w:t>
            </w:r>
          </w:p>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（二）具有与粮食储存功能、仓型、进出粮方式、粮食品种、储粮周期等相适应的仓储设备；</w:t>
            </w:r>
          </w:p>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（三）具有符合国家标准的储备粮质量等级检测仪器和检测场所，具备检测粮温、水分、害虫密度的条件；</w:t>
            </w:r>
          </w:p>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（四）具有经过专业培训，掌握粮食保管、质量检验和防治等相应知识技能的人员；</w:t>
            </w:r>
          </w:p>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（五）经营管理和信誉良好，无严重违法经营记录；</w:t>
            </w:r>
          </w:p>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（六）法律、法规、规章规定的其他条件。</w:t>
            </w:r>
          </w:p>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lang w:val="en-US" w:eastAsia="zh-CN"/>
              </w:rPr>
              <w:t xml:space="preserve">    </w:t>
            </w:r>
          </w:p>
        </w:tc>
        <w:tc>
          <w:tcPr>
            <w:tcW w:w="1560"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市、县粮食和物资储备局</w:t>
            </w:r>
          </w:p>
        </w:tc>
        <w:tc>
          <w:tcPr>
            <w:tcW w:w="1215"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企业开户银行</w:t>
            </w:r>
          </w:p>
        </w:tc>
        <w:tc>
          <w:tcPr>
            <w:tcW w:w="1168" w:type="dxa"/>
            <w:vAlign w:val="center"/>
          </w:tcPr>
          <w:p>
            <w:pPr>
              <w:spacing w:line="260" w:lineRule="exact"/>
              <w:rPr>
                <w:rFonts w:hint="default" w:ascii="Times New Roman" w:hAnsi="Times New Roman" w:eastAsia="仿宋_GB2312" w:cs="Times New Roman"/>
                <w:b w:val="0"/>
                <w:bCs/>
                <w:strike w:val="0"/>
                <w:dstrike w:val="0"/>
                <w:color w:val="auto"/>
                <w:sz w:val="20"/>
                <w:szCs w:val="20"/>
                <w:highlight w:val="none"/>
              </w:rPr>
            </w:pPr>
            <w:r>
              <w:rPr>
                <w:rFonts w:hint="default" w:ascii="Times New Roman" w:hAnsi="Times New Roman" w:eastAsia="仿宋_GB2312" w:cs="Times New Roman"/>
                <w:b w:val="0"/>
                <w:bCs/>
                <w:strike w:val="0"/>
                <w:dstrike w:val="0"/>
                <w:color w:val="auto"/>
                <w:sz w:val="20"/>
                <w:szCs w:val="20"/>
                <w:highlight w:val="none"/>
              </w:rPr>
              <w:t>取消，不再提交</w:t>
            </w:r>
          </w:p>
        </w:tc>
      </w:tr>
    </w:tbl>
    <w:p>
      <w:pPr>
        <w:pStyle w:val="5"/>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p>
    <w:sectPr>
      <w:footerReference r:id="rId3" w:type="default"/>
      <w:pgSz w:w="16838" w:h="11906" w:orient="landscape"/>
      <w:pgMar w:top="1587" w:right="2098" w:bottom="1474" w:left="1984" w:header="851" w:footer="1134"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F"/>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Arial">
    <w:altName w:val="Nimbus Roman No9 L"/>
    <w:panose1 w:val="020B0604020202020204"/>
    <w:charset w:val="00"/>
    <w:family w:val="swiss"/>
    <w:pitch w:val="default"/>
    <w:sig w:usb0="00000000" w:usb1="00000000" w:usb2="00000009" w:usb3="00000000" w:csb0="400001FF" w:csb1="FFFF0000"/>
  </w:font>
  <w:font w:name="DejaVu Sans">
    <w:panose1 w:val="020B0603030804020204"/>
    <w:charset w:val="00"/>
    <w:family w:val="roman"/>
    <w:pitch w:val="default"/>
    <w:sig w:usb0="E7006EFF" w:usb1="D200FDFF" w:usb2="0A246029" w:usb3="0400200C" w:csb0="600001FF" w:csb1="DFFF0000"/>
  </w:font>
  <w:font w:name="Cambria">
    <w:altName w:val="FreeSerif"/>
    <w:panose1 w:val="02040503050406030204"/>
    <w:charset w:val="00"/>
    <w:family w:val="roman"/>
    <w:pitch w:val="default"/>
    <w:sig w:usb0="00000000" w:usb1="00000000" w:usb2="00000000" w:usb3="00000000" w:csb0="2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64"/>
  <w:displayHorizontalDrawingGridEvery w:val="1"/>
  <w:displayVerticalDrawingGridEvery w:val="2"/>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C30EF"/>
    <w:rsid w:val="1B197DE3"/>
    <w:rsid w:val="1F4EB476"/>
    <w:rsid w:val="1F946352"/>
    <w:rsid w:val="1FED837B"/>
    <w:rsid w:val="28E1E2E0"/>
    <w:rsid w:val="2ADDF7AA"/>
    <w:rsid w:val="2B017659"/>
    <w:rsid w:val="2CC53AC2"/>
    <w:rsid w:val="30046C66"/>
    <w:rsid w:val="32F9DF89"/>
    <w:rsid w:val="3723533E"/>
    <w:rsid w:val="3A12558D"/>
    <w:rsid w:val="3B477B88"/>
    <w:rsid w:val="3D9D2D94"/>
    <w:rsid w:val="3E78084C"/>
    <w:rsid w:val="3FAE4F99"/>
    <w:rsid w:val="4404616E"/>
    <w:rsid w:val="4A181F5B"/>
    <w:rsid w:val="4B1543FD"/>
    <w:rsid w:val="4C0E1DAE"/>
    <w:rsid w:val="50671930"/>
    <w:rsid w:val="5B955007"/>
    <w:rsid w:val="5E3A4C7F"/>
    <w:rsid w:val="5FBBDC57"/>
    <w:rsid w:val="5FDDDE72"/>
    <w:rsid w:val="61FC6BB3"/>
    <w:rsid w:val="66CB7D96"/>
    <w:rsid w:val="6CCD7673"/>
    <w:rsid w:val="6E7067F2"/>
    <w:rsid w:val="705C30EF"/>
    <w:rsid w:val="712505BA"/>
    <w:rsid w:val="75AFE12B"/>
    <w:rsid w:val="75EF5EAF"/>
    <w:rsid w:val="77EEC507"/>
    <w:rsid w:val="77EF6195"/>
    <w:rsid w:val="78FD7197"/>
    <w:rsid w:val="79CD42A0"/>
    <w:rsid w:val="7A0806D3"/>
    <w:rsid w:val="7A62CECB"/>
    <w:rsid w:val="7BC213D3"/>
    <w:rsid w:val="7BCD82E6"/>
    <w:rsid w:val="7EE7A181"/>
    <w:rsid w:val="7F7F47F4"/>
    <w:rsid w:val="7FCF7BBF"/>
    <w:rsid w:val="7FDF703C"/>
    <w:rsid w:val="9BBF871B"/>
    <w:rsid w:val="A77CA819"/>
    <w:rsid w:val="ADF2A061"/>
    <w:rsid w:val="AFFF18E2"/>
    <w:rsid w:val="B677086E"/>
    <w:rsid w:val="B67F2F19"/>
    <w:rsid w:val="BDE3ABDD"/>
    <w:rsid w:val="BFBB3BCA"/>
    <w:rsid w:val="CAFBE959"/>
    <w:rsid w:val="CBEF822D"/>
    <w:rsid w:val="D6A5B378"/>
    <w:rsid w:val="DCCF9CF9"/>
    <w:rsid w:val="DD3FA71D"/>
    <w:rsid w:val="E7D380EA"/>
    <w:rsid w:val="EB4F6802"/>
    <w:rsid w:val="EDEBB96A"/>
    <w:rsid w:val="EF7B2221"/>
    <w:rsid w:val="EF7F2678"/>
    <w:rsid w:val="F62F77E4"/>
    <w:rsid w:val="F6EF518B"/>
    <w:rsid w:val="FACBE877"/>
    <w:rsid w:val="FBC783FB"/>
    <w:rsid w:val="FBE56B8C"/>
    <w:rsid w:val="FD3D9721"/>
    <w:rsid w:val="FDF748E1"/>
    <w:rsid w:val="FEFF50B6"/>
    <w:rsid w:val="FF7FC8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line="580" w:lineRule="exact"/>
      <w:ind w:left="0" w:leftChars="0" w:firstLine="200" w:firstLineChars="200"/>
    </w:pPr>
    <w:rPr>
      <w:rFonts w:ascii="Calibri" w:hAnsi="Calibri" w:eastAsia="仿宋_GB2312"/>
      <w:sz w:val="32"/>
    </w:rPr>
  </w:style>
  <w:style w:type="paragraph" w:styleId="3">
    <w:name w:val="Body Text Indent"/>
    <w:basedOn w:val="1"/>
    <w:next w:val="4"/>
    <w:qFormat/>
    <w:uiPriority w:val="0"/>
    <w:pPr>
      <w:ind w:firstLine="640" w:firstLineChars="200"/>
    </w:pPr>
  </w:style>
  <w:style w:type="paragraph" w:styleId="4">
    <w:name w:val="index 5"/>
    <w:basedOn w:val="1"/>
    <w:next w:val="1"/>
    <w:qFormat/>
    <w:uiPriority w:val="0"/>
    <w:pPr>
      <w:ind w:left="1680"/>
    </w:pPr>
  </w:style>
  <w:style w:type="paragraph" w:styleId="5">
    <w:name w:val="Balloon Text"/>
    <w:basedOn w:val="1"/>
    <w:qFormat/>
    <w:uiPriority w:val="0"/>
    <w:rPr>
      <w:sz w:val="18"/>
      <w:szCs w:val="18"/>
    </w:rPr>
  </w:style>
  <w:style w:type="paragraph" w:styleId="6">
    <w:name w:val="Body Text"/>
    <w:basedOn w:val="1"/>
    <w:next w:val="1"/>
    <w:qFormat/>
    <w:uiPriority w:val="0"/>
    <w:rPr>
      <w:rFonts w:eastAsia="宋体"/>
    </w:rPr>
  </w:style>
  <w:style w:type="paragraph" w:styleId="7">
    <w:name w:val="footer"/>
    <w:basedOn w:val="1"/>
    <w:qFormat/>
    <w:uiPriority w:val="0"/>
    <w:pPr>
      <w:tabs>
        <w:tab w:val="center" w:pos="4153"/>
        <w:tab w:val="right" w:pos="8306"/>
      </w:tabs>
      <w:snapToGrid w:val="0"/>
      <w:jc w:val="left"/>
    </w:pPr>
    <w:rPr>
      <w:sz w:val="18"/>
    </w:rPr>
  </w:style>
  <w:style w:type="paragraph" w:styleId="8">
    <w:name w:val="envelope return"/>
    <w:basedOn w:val="1"/>
    <w:qFormat/>
    <w:uiPriority w:val="0"/>
    <w:pPr>
      <w:snapToGrid w:val="0"/>
    </w:pPr>
    <w:rPr>
      <w:rFonts w:ascii="Arial" w:hAnsi="Arial"/>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10">
    <w:name w:val="Title"/>
    <w:basedOn w:val="1"/>
    <w:next w:val="1"/>
    <w:qFormat/>
    <w:uiPriority w:val="0"/>
    <w:pPr>
      <w:spacing w:before="240" w:beforeLines="0" w:after="60" w:afterLines="0"/>
      <w:jc w:val="center"/>
      <w:outlineLvl w:val="0"/>
    </w:pPr>
    <w:rPr>
      <w:rFonts w:ascii="Cambria" w:hAnsi="Cambria"/>
      <w:b/>
      <w:bCs/>
    </w:rPr>
  </w:style>
  <w:style w:type="paragraph" w:customStyle="1" w:styleId="13">
    <w:name w:val="Body Text First Indent 21"/>
    <w:basedOn w:val="14"/>
    <w:qFormat/>
    <w:uiPriority w:val="0"/>
    <w:pPr>
      <w:tabs>
        <w:tab w:val="left" w:pos="1260"/>
      </w:tabs>
      <w:ind w:left="420" w:firstLine="210"/>
    </w:pPr>
    <w:rPr>
      <w:sz w:val="24"/>
      <w:szCs w:val="24"/>
      <w:lang w:val="en-US" w:eastAsia="zh-CN"/>
    </w:rPr>
  </w:style>
  <w:style w:type="paragraph" w:customStyle="1" w:styleId="14">
    <w:name w:val="Body Text Indent1"/>
    <w:basedOn w:val="1"/>
    <w:qFormat/>
    <w:uiPriority w:val="0"/>
    <w:pPr>
      <w:ind w:firstLine="540" w:firstLineChars="180"/>
    </w:pPr>
    <w:rPr>
      <w:sz w:val="30"/>
    </w:rPr>
  </w:style>
  <w:style w:type="paragraph" w:customStyle="1" w:styleId="15">
    <w:name w:val="1.卫标"/>
    <w:basedOn w:val="1"/>
    <w:qFormat/>
    <w:uiPriority w:val="0"/>
    <w:pPr>
      <w:spacing w:line="660" w:lineRule="exact"/>
      <w:jc w:val="center"/>
    </w:pPr>
    <w:rPr>
      <w:rFonts w:ascii="方正小标宋_GBK" w:hAnsi="Calibri" w:eastAsia="方正小标宋_GBK" w:cs="Times New Roman"/>
      <w:sz w:val="44"/>
    </w:rPr>
  </w:style>
  <w:style w:type="paragraph" w:customStyle="1" w:styleId="16">
    <w:name w:val="2.普段"/>
    <w:basedOn w:val="1"/>
    <w:qFormat/>
    <w:uiPriority w:val="0"/>
    <w:pPr>
      <w:spacing w:line="560" w:lineRule="exact"/>
      <w:ind w:firstLine="200" w:firstLineChars="200"/>
    </w:pPr>
    <w:rPr>
      <w:rFonts w:ascii="方正仿宋_GBK" w:hAnsi="Times New Roman" w:eastAsia="方正仿宋_GBK" w:cs="Times New Roman"/>
      <w:sz w:val="32"/>
    </w:rPr>
  </w:style>
  <w:style w:type="paragraph" w:customStyle="1" w:styleId="17">
    <w:name w:val="3.段大标"/>
    <w:basedOn w:val="16"/>
    <w:qFormat/>
    <w:uiPriority w:val="0"/>
    <w:rPr>
      <w:rFonts w:eastAsia="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2023-07-06T16:34:00Z</dcterms:created>
  <dc:creator>马逢倡</dc:creator>
  <cp:lastModifiedBy>wzs</cp:lastModifiedBy>
  <cp:lastPrinted>2024-03-19T23:18:00Z</cp:lastPrinted>
  <dcterms:modified xsi:type="dcterms:W3CDTF">2024-03-19T16:08:03Z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