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小标宋_GBK" w:cs="Times New Roman"/>
          <w:color w:val="000000"/>
          <w:spacing w:val="20"/>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color w:val="000000"/>
          <w:spacing w:val="20"/>
          <w:sz w:val="44"/>
          <w:szCs w:val="44"/>
        </w:rPr>
        <w:t>吴忠市国民经济和社会发展第十</w:t>
      </w:r>
      <w:r>
        <w:rPr>
          <w:rFonts w:hint="default" w:ascii="Times New Roman" w:hAnsi="Times New Roman" w:eastAsia="方正小标宋_GBK" w:cs="Times New Roman"/>
          <w:color w:val="000000"/>
          <w:spacing w:val="20"/>
          <w:sz w:val="44"/>
          <w:szCs w:val="44"/>
          <w:lang w:eastAsia="zh-CN"/>
        </w:rPr>
        <w:t>四</w:t>
      </w:r>
      <w:r>
        <w:rPr>
          <w:rFonts w:hint="default" w:ascii="Times New Roman" w:hAnsi="Times New Roman" w:eastAsia="方正小标宋_GBK" w:cs="Times New Roman"/>
          <w:color w:val="000000"/>
          <w:spacing w:val="20"/>
          <w:sz w:val="44"/>
          <w:szCs w:val="44"/>
        </w:rPr>
        <w:t>个</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color w:val="000000"/>
          <w:spacing w:val="20"/>
          <w:sz w:val="44"/>
          <w:szCs w:val="44"/>
        </w:rPr>
        <w:t>五年规划</w:t>
      </w:r>
      <w:r>
        <w:rPr>
          <w:rFonts w:hint="default" w:ascii="Times New Roman" w:hAnsi="Times New Roman" w:eastAsia="方正小标宋_GBK" w:cs="Times New Roman"/>
          <w:color w:val="000000"/>
          <w:spacing w:val="20"/>
          <w:sz w:val="44"/>
          <w:szCs w:val="44"/>
          <w:lang w:val="en-US" w:eastAsia="zh-CN"/>
        </w:rPr>
        <w:t>和二〇三五年远景目标</w:t>
      </w:r>
      <w:r>
        <w:rPr>
          <w:rFonts w:hint="default" w:ascii="Times New Roman" w:hAnsi="Times New Roman" w:eastAsia="方正小标宋_GBK" w:cs="Times New Roman"/>
          <w:color w:val="000000"/>
          <w:spacing w:val="20"/>
          <w:sz w:val="44"/>
          <w:szCs w:val="44"/>
        </w:rPr>
        <w:t>纲要</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时期，是我国开启全面建设社会主义现代化新征程、向第二个百年奋斗目标进军的第一个五年，是吴忠市坚持以习近平新时代中国特色社会主义思想为指导，深入贯彻落实习近平总书记视察宁夏重要讲话精神，奋力争当建设黄河流域生态保护和高质量发展先行区排头兵的关键时期。根据党的十九届五中全会精神、</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《中共宁夏回族自治区委员会关于制定国民经济和社会发展第十</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个五年规划</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和二〇三五年远景目标的建议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《中共吴忠市委员会关于制定国民经济和社会发展第十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个五年规划</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和二〇三五年远景目标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的建议》</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编制</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吴忠市国民经济和社会发展第十四个五年规划和二〇三五年远景目标纲要</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下简称《纲要》），主要阐明吴忠市委、政府战略意图，明确未来五年全市经济社会发展宏伟目标、主要任务和重大举措，展望2035年远景目标。《纲要》是市场主体的行为导向，是政府履行职责的重要依据，是全市各族人民共同奋斗的行动纲领。</w:t>
      </w:r>
      <w:bookmarkStart w:id="0" w:name="_Toc435057152"/>
      <w:bookmarkStart w:id="1" w:name="_Toc11014"/>
      <w:bookmarkStart w:id="2" w:name="_Toc14799"/>
      <w:bookmarkStart w:id="3" w:name="_Toc10845"/>
      <w:bookmarkStart w:id="4" w:name="_Toc10714"/>
      <w:bookmarkStart w:id="5" w:name="_Toc24604"/>
      <w:bookmarkStart w:id="6" w:name="_Toc20305"/>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default" w:ascii="黑体" w:hAnsi="黑体" w:eastAsia="黑体" w:cs="黑体"/>
          <w:bCs/>
          <w:color w:val="000000"/>
          <w:spacing w:val="0"/>
          <w:kern w:val="2"/>
          <w:sz w:val="32"/>
          <w:szCs w:val="32"/>
          <w:lang w:val="en-US" w:eastAsia="zh-CN" w:bidi="ar-SA"/>
        </w:rPr>
      </w:pPr>
      <w:r>
        <w:rPr>
          <w:rFonts w:hint="default" w:ascii="黑体" w:hAnsi="黑体" w:eastAsia="黑体" w:cs="黑体"/>
          <w:bCs/>
          <w:color w:val="000000"/>
          <w:spacing w:val="0"/>
          <w:kern w:val="2"/>
          <w:sz w:val="32"/>
          <w:szCs w:val="32"/>
          <w:lang w:val="en-US" w:eastAsia="zh-CN" w:bidi="ar-SA"/>
        </w:rPr>
        <w:t xml:space="preserve">第一章  </w:t>
      </w:r>
      <w:bookmarkEnd w:id="0"/>
      <w:r>
        <w:rPr>
          <w:rFonts w:hint="default" w:ascii="黑体" w:hAnsi="黑体" w:eastAsia="黑体" w:cs="黑体"/>
          <w:bCs/>
          <w:color w:val="000000"/>
          <w:spacing w:val="0"/>
          <w:kern w:val="2"/>
          <w:sz w:val="32"/>
          <w:szCs w:val="32"/>
          <w:lang w:val="en-US" w:eastAsia="zh-CN" w:bidi="ar-SA"/>
        </w:rPr>
        <w:t>全面建成小康社会  准确把握新形势明确新方位</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站在新的历史起点，开启吴忠全面建设社会主义现代化新征程，必须坚持以习近平新时代中国特色社会主义思想为指导，以习近平总书记视察宁夏重要讲话精神为根本遵循，全面贯彻落实自治区党委、政府决策部署，立足新发展阶段，坚定贯彻新发展理念，主动融入新发展格局，积极应对各种风险挑战，坚持不懈推动高质量发展，确保吴忠在全面建设社会主义现代化新征程中开好局起好步。</w:t>
      </w:r>
    </w:p>
    <w:p>
      <w:pPr>
        <w:pStyle w:val="2"/>
        <w:keepNext/>
        <w:keepLines/>
        <w:pageBreakBefore w:val="0"/>
        <w:widowControl w:val="0"/>
        <w:kinsoku/>
        <w:wordWrap/>
        <w:overflowPunct/>
        <w:topLinePunct w:val="0"/>
        <w:autoSpaceDE/>
        <w:autoSpaceDN/>
        <w:bidi w:val="0"/>
        <w:adjustRightInd/>
        <w:snapToGrid/>
        <w:spacing w:before="240" w:after="240" w:line="600" w:lineRule="exact"/>
        <w:ind w:firstLine="0" w:firstLineChars="0"/>
        <w:textAlignment w:val="auto"/>
        <w:rPr>
          <w:rFonts w:hint="default" w:ascii="Times New Roman" w:hAnsi="Times New Roman" w:eastAsia="方正黑体_GBK" w:cs="Times New Roman"/>
          <w:color w:val="000000" w:themeColor="text1"/>
          <w:highlight w:val="none"/>
          <w:lang w:val="en-US" w:eastAsia="zh-CN"/>
          <w14:textFill>
            <w14:solidFill>
              <w14:schemeClr w14:val="tx1"/>
            </w14:solidFill>
          </w14:textFill>
        </w:rPr>
      </w:pPr>
      <w:bookmarkStart w:id="7" w:name="_Toc13446"/>
      <w:bookmarkStart w:id="8" w:name="_Toc941"/>
      <w:bookmarkStart w:id="9" w:name="_Toc12443"/>
      <w:bookmarkStart w:id="10" w:name="_Toc1702"/>
      <w:bookmarkStart w:id="11" w:name="_Toc14947"/>
      <w:r>
        <w:rPr>
          <w:rFonts w:hint="default" w:ascii="Times New Roman" w:hAnsi="Times New Roman" w:eastAsia="方正黑体简体" w:cs="Times New Roman"/>
          <w:color w:val="000000"/>
          <w:spacing w:val="0"/>
          <w:sz w:val="32"/>
          <w:szCs w:val="32"/>
          <w:lang w:val="en-US" w:eastAsia="zh-CN"/>
        </w:rPr>
        <w:t xml:space="preserve">第一节 </w:t>
      </w:r>
      <w:bookmarkEnd w:id="7"/>
      <w:bookmarkEnd w:id="8"/>
      <w:bookmarkEnd w:id="9"/>
      <w:bookmarkEnd w:id="10"/>
      <w:r>
        <w:rPr>
          <w:rFonts w:hint="default" w:ascii="Times New Roman" w:hAnsi="Times New Roman" w:eastAsia="方正黑体简体" w:cs="Times New Roman"/>
          <w:color w:val="000000"/>
          <w:spacing w:val="0"/>
          <w:sz w:val="32"/>
          <w:szCs w:val="32"/>
          <w:lang w:val="en-US" w:eastAsia="zh-CN"/>
        </w:rPr>
        <w:t xml:space="preserve"> 决胜全面建成小康社会取得决定性成就</w:t>
      </w:r>
      <w:bookmarkEnd w:id="11"/>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十三五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时期是吴忠决胜全面小康，决战脱贫攻坚的五年。面对错综复杂的风险挑战和艰巨繁重的改革发展稳定任务，在以习近平同志为核心的党中央坚强领导下，贯彻落实习近平总书记两次视察宁夏重要讲话精神，坚持稳中求进总基调，坚持践行新发展理念，坚持供给侧结构性改革，坚决打好三大攻坚战，积极做好调、转、增、融</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四篇文章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，全力抓好稳增长、促改革、调结构、惠民生、防风险、保稳定工作，团结奋进、攻坚克难，推进各项事业发展取得重大成效。</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十三五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规划圆满收官，全面建成小康社会胜利在望，吴忠经济社会高质量发展迈出新步伐。</w:t>
      </w:r>
    </w:p>
    <w:p>
      <w:pPr>
        <w:pStyle w:val="4"/>
        <w:keepNext/>
        <w:keepLines/>
        <w:pageBreakBefore w:val="0"/>
        <w:widowControl w:val="0"/>
        <w:kinsoku/>
        <w:wordWrap/>
        <w:overflowPunct/>
        <w:topLinePunct w:val="0"/>
        <w:autoSpaceDE/>
        <w:autoSpaceDN/>
        <w:bidi w:val="0"/>
        <w:adjustRightInd/>
        <w:snapToGrid/>
        <w:spacing w:before="60" w:after="60" w:line="594"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2" w:name="_Toc2536"/>
      <w:bookmarkStart w:id="13" w:name="_Toc28768"/>
      <w:bookmarkStart w:id="14" w:name="_Toc30708"/>
      <w:bookmarkStart w:id="15" w:name="_Toc8048"/>
      <w:r>
        <w:rPr>
          <w:rFonts w:hint="default" w:ascii="Times New Roman" w:hAnsi="Times New Roman" w:cs="Times New Roman"/>
          <w:b w:val="0"/>
          <w:color w:val="000000" w:themeColor="text1"/>
          <w:highlight w:val="none"/>
          <w:lang w:val="en-US" w:eastAsia="zh-CN"/>
          <w14:textFill>
            <w14:solidFill>
              <w14:schemeClr w14:val="tx1"/>
            </w14:solidFill>
          </w14:textFill>
        </w:rPr>
        <w:t>一、综合实力稳步提升，脱贫攻坚全面完成</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经济实力跃上新台阶。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2020年，全市地区生产总值达到621.8亿元，年均增长7.4%，是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末的1.5倍，经济总量跃升至全区第二。人均地区生产总值达到43700元，是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末的1.5倍。全市完成财政一般公共预算收入35.63亿元，年均增长2.3%。社会消费品零售总额达177.05亿元，是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末的1.3倍，年均增长4.9%。</w:t>
      </w:r>
    </w:p>
    <w:p>
      <w:pPr>
        <w:keepNext w:val="0"/>
        <w:keepLines w:val="0"/>
        <w:pageBreakBefore w:val="0"/>
        <w:widowControl w:val="0"/>
        <w:kinsoku/>
        <w:wordWrap/>
        <w:overflowPunct/>
        <w:topLinePunct w:val="0"/>
        <w:autoSpaceDE/>
        <w:autoSpaceDN/>
        <w:bidi w:val="0"/>
        <w:adjustRightInd/>
        <w:snapToGrid/>
        <w:spacing w:before="200" w:after="240"/>
        <w:jc w:val="center"/>
        <w:textAlignment w:val="auto"/>
        <w:rPr>
          <w:rFonts w:hint="default" w:ascii="Times New Roman" w:hAnsi="Times New Roman" w:eastAsia="黑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pict>
          <v:shape id="图表 1" o:spid="_x0000_s1030" o:spt="75" type="#_x0000_t75" style="position:absolute;left:0pt;margin-left:25.15pt;margin-top:15.45pt;height:261pt;width:411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">
            <v:path/>
            <v:fill on="f" focussize="0,0"/>
            <v:stroke on="f"/>
            <v:imagedata r:id="rId8" o:title=""/>
            <o:lock v:ext="edit" aspectratio="t"/>
            <w10:wrap type="square"/>
          </v:shape>
          <o:OLEObject Type="Embed" ProgID="Excel.Sheet.8" ShapeID="图表 1" DrawAspect="Content" ObjectID="_1468075725" r:id="rId7">
            <o:LockedField>false</o:LockedField>
          </o:OLEObject>
        </w:pict>
      </w:r>
      <w:r>
        <w:rPr>
          <w:rFonts w:hint="default" w:ascii="Times New Roman" w:hAnsi="Times New Roman" w:eastAsia="黑体" w:cs="Times New Roman"/>
          <w:color w:val="000000" w:themeColor="text1"/>
          <w:sz w:val="28"/>
          <w:szCs w:val="28"/>
          <w:highlight w:val="none"/>
          <w14:textFill>
            <w14:solidFill>
              <w14:schemeClr w14:val="tx1"/>
            </w14:solidFill>
          </w14:textFill>
        </w:rPr>
        <w:t>图1-1  201</w:t>
      </w: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黑体" w:cs="Times New Roman"/>
          <w:color w:val="000000" w:themeColor="text1"/>
          <w:sz w:val="28"/>
          <w:szCs w:val="28"/>
          <w:highlight w:val="none"/>
          <w:shd w:val="clear" w:color="auto" w:fill="auto"/>
          <w:lang w:eastAsia="zh-CN"/>
          <w14:textFill>
            <w14:solidFill>
              <w14:schemeClr w14:val="tx1"/>
            </w14:solidFill>
          </w14:textFill>
        </w:rPr>
        <w:t>—2020年</w:t>
      </w:r>
      <w:r>
        <w:rPr>
          <w:rFonts w:hint="default" w:ascii="Times New Roman" w:hAnsi="Times New Roman" w:eastAsia="黑体" w:cs="Times New Roman"/>
          <w:color w:val="000000" w:themeColor="text1"/>
          <w:sz w:val="28"/>
          <w:szCs w:val="28"/>
          <w:highlight w:val="none"/>
          <w14:textFill>
            <w14:solidFill>
              <w14:schemeClr w14:val="tx1"/>
            </w14:solidFill>
          </w14:textFill>
        </w:rPr>
        <w:t>全市地区生产总值及增速示意图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脱贫攻坚取得决定性成就。</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高质量打赢脱贫攻坚战，全市18.9万农村贫困人口全部脱贫，217个贫困村全部出列，盐池县、同心县、红寺堡区全部摘帽，金融扶贫</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盐池模式</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经验在全国推广，盐同红集中连片区贫困面貌得到根本性改变，区域性绝对贫困问题历史性地得到解决。经济发展、民主法制、文化建设、人民生活、资源环境五大指标全面提升，实现了地区生产总值和城乡居民人均可支配收入</w:t>
      </w:r>
      <w:r>
        <w:rPr>
          <w:rFonts w:hint="default" w:ascii="Times New Roman" w:hAnsi="Times New Roman" w:eastAsia="方正仿宋_GBK" w:cs="Times New Roman"/>
          <w:color w:val="000000" w:themeColor="text1"/>
          <w:spacing w:val="-6"/>
          <w:highlight w:val="none"/>
          <w:lang w:val="en-US" w:eastAsia="zh-CN"/>
          <w14:textFill>
            <w14:solidFill>
              <w14:schemeClr w14:val="tx1"/>
            </w14:solidFill>
          </w14:textFill>
        </w:rPr>
        <w:t>较2010年翻一番目标，与全国全区同步全面建成小康社会。</w:t>
      </w:r>
    </w:p>
    <w:p>
      <w:pPr>
        <w:pStyle w:val="4"/>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16" w:name="_Toc2417"/>
      <w:bookmarkStart w:id="17" w:name="_Toc28040"/>
      <w:bookmarkStart w:id="18" w:name="_Toc28725"/>
      <w:bookmarkStart w:id="19" w:name="_Toc10849"/>
      <w:r>
        <w:rPr>
          <w:rFonts w:hint="default" w:ascii="Times New Roman" w:hAnsi="Times New Roman" w:cs="Times New Roman"/>
          <w:b w:val="0"/>
          <w:color w:val="000000" w:themeColor="text1"/>
          <w:highlight w:val="none"/>
          <w:lang w:val="en-US" w:eastAsia="zh-CN"/>
          <w14:textFill>
            <w14:solidFill>
              <w14:schemeClr w14:val="tx1"/>
            </w14:solidFill>
          </w14:textFill>
        </w:rPr>
        <w:t>二、创新引领提质转型，</w:t>
      </w:r>
      <w:bookmarkEnd w:id="16"/>
      <w:r>
        <w:rPr>
          <w:rFonts w:hint="default" w:ascii="Times New Roman" w:hAnsi="Times New Roman" w:cs="Times New Roman"/>
          <w:b w:val="0"/>
          <w:color w:val="000000" w:themeColor="text1"/>
          <w:highlight w:val="none"/>
          <w:lang w:val="en-US" w:eastAsia="zh-CN"/>
          <w14:textFill>
            <w14:solidFill>
              <w14:schemeClr w14:val="tx1"/>
            </w14:solidFill>
          </w14:textFill>
        </w:rPr>
        <w:t>产业结构持续优化</w:t>
      </w:r>
      <w:bookmarkEnd w:id="17"/>
      <w:bookmarkEnd w:id="18"/>
      <w:bookmarkEnd w:id="1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000000" w:themeColor="text1"/>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加快传统产业转型升级，形成支撑吴忠高质量发展的现代产业体系，三次产业比例由2015年的13.5:56:30.5优化为13.7:43.9:42.4。</w:t>
      </w:r>
      <w:r>
        <w:rPr>
          <w:rStyle w:val="29"/>
          <w:rFonts w:hint="default" w:ascii="Times New Roman" w:hAnsi="Times New Roman" w:eastAsia="方正仿宋_GBK" w:cs="Times New Roman"/>
          <w:color w:val="000000" w:themeColor="text1"/>
          <w:highlight w:val="none"/>
          <w14:textFill>
            <w14:solidFill>
              <w14:schemeClr w14:val="tx1"/>
            </w14:solidFill>
          </w14:textFill>
        </w:rPr>
        <w:t>自主创新步伐加快</w:t>
      </w:r>
      <w:r>
        <w:rPr>
          <w:rStyle w:val="29"/>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坚持创新驱动发展战略，研究与试验发展（R&amp;D）经费投入强度达到1.27%，全市新增国家级高新技术企业40家，获批国家知识产权试点城市，盐池县获全国首批创新型县（市）建设单位。</w:t>
      </w:r>
      <w:r>
        <w:rPr>
          <w:rStyle w:val="29"/>
          <w:rFonts w:hint="default" w:ascii="Times New Roman" w:hAnsi="Times New Roman" w:eastAsia="方正仿宋_GBK" w:cs="Times New Roman"/>
          <w:color w:val="000000" w:themeColor="text1"/>
          <w:highlight w:val="none"/>
          <w:lang w:eastAsia="zh-CN"/>
          <w14:textFill>
            <w14:solidFill>
              <w14:schemeClr w14:val="tx1"/>
            </w14:solidFill>
          </w14:textFill>
        </w:rPr>
        <w:t>工业经济</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提质扩量</w:t>
      </w:r>
      <w:r>
        <w:rPr>
          <w:rStyle w:val="29"/>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2020年，规模以上工业增加值增速居全区五市第一，年均增速10.5%，占全区比重由15.6%提升至20.8%。初步构建以高端装备、现代纺织、健康食品为主导的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3+X</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产业体系，产值过亿元企业数量达到116家。绿色成为转型发展新底色，累计淘汰落后产能355万吨，单位工业增加值能耗降幅居全区前列，金积工业园区获评国家级绿色园区。建成全区唯一的工业互联网标识解析二级节点并与国家顶级节点对接，上云工业企业比例达到30%。太阳山开发区、金积工业园区、青铜峡工业园区产值均超百亿元，产业信息化和集聚化水平明显提升。</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现代农业提档增效。</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2020年，全市完成农林牧渔业总产值178.1亿元，年均增长4.2%，产值、增速均居全区第一。坚决守住粮食安全底线，粮食产量99.6万吨，实现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十七连丰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，青铜峡市获评国家制种大县。奶牛养殖规模化率达到98%，建成全球最大液态奶单体工厂，肉牛、肉羊出栏量较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末增加35%、14%，特色优势产业产值占农业总产值达90%以上。培育农业产业化龙头企业214家，新型经营主体不断壮大。累计认证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两品一标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产品158个，获评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中国塞上硒都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中国亚麻籽油之乡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盐池滩羊肉</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四上国宴，品牌兴农、质量兴农、绿色兴农成为全市农业发展主旋律。</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服务业提速升级。</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2020年，全市第三产业增加值达到263.6亿元，较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末翻一番，服务业就业人员占全社会就业人数比重突破50%。全市各项存贷款余额分别较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十二五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末增长51.3%和46.7%，嘉泽新能源公司在上海主板成功上市。建成宁夏德昌铁路物流中心、青铜峡煤炭物流园等项目，物流营业收入突破百亿元。消费活力明显增强，吴忠万达广场等一批大型商贸综合体投入运营，牛家坊创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自治区级特色美食集聚区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游在宁夏·吃在吴忠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成为服务业发展的金字招牌。新增国家4A级旅游景区5处、全国乡村旅游重点村5个，五</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县（市、区）全部列入全域旅游创建试点，</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青铜峡市率先创建为国家全域旅游示范区。电商零售、信息技术、健康养老等新业态亮点纷呈。</w:t>
      </w:r>
    </w:p>
    <w:p>
      <w:pPr>
        <w:pStyle w:val="4"/>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20" w:name="_Toc435057156"/>
      <w:bookmarkStart w:id="21" w:name="_Toc13916"/>
      <w:bookmarkStart w:id="22" w:name="_Toc17721"/>
      <w:bookmarkStart w:id="23" w:name="_Toc2686"/>
      <w:bookmarkStart w:id="24" w:name="_Toc32100"/>
      <w:r>
        <w:rPr>
          <w:rFonts w:hint="default" w:ascii="Times New Roman" w:hAnsi="Times New Roman" w:cs="Times New Roman"/>
          <w:b w:val="0"/>
          <w:color w:val="000000" w:themeColor="text1"/>
          <w:highlight w:val="none"/>
          <w:lang w:val="en-US" w:eastAsia="zh-CN"/>
          <w14:textFill>
            <w14:solidFill>
              <w14:schemeClr w14:val="tx1"/>
            </w14:solidFill>
          </w14:textFill>
        </w:rPr>
        <w:t>三、</w:t>
      </w:r>
      <w:bookmarkEnd w:id="20"/>
      <w:r>
        <w:rPr>
          <w:rFonts w:hint="default" w:ascii="Times New Roman" w:hAnsi="Times New Roman" w:cs="Times New Roman"/>
          <w:b w:val="0"/>
          <w:color w:val="000000" w:themeColor="text1"/>
          <w:highlight w:val="none"/>
          <w:lang w:val="en-US" w:eastAsia="zh-CN"/>
          <w14:textFill>
            <w14:solidFill>
              <w14:schemeClr w14:val="tx1"/>
            </w14:solidFill>
          </w14:textFill>
        </w:rPr>
        <w:t>山川统筹协调发展，城乡面貌</w:t>
      </w:r>
      <w:bookmarkEnd w:id="21"/>
      <w:r>
        <w:rPr>
          <w:rFonts w:hint="default" w:ascii="Times New Roman" w:hAnsi="Times New Roman" w:cs="Times New Roman"/>
          <w:b w:val="0"/>
          <w:color w:val="000000" w:themeColor="text1"/>
          <w:highlight w:val="none"/>
          <w:lang w:val="en-US" w:eastAsia="zh-CN"/>
          <w14:textFill>
            <w14:solidFill>
              <w14:schemeClr w14:val="tx1"/>
            </w14:solidFill>
          </w14:textFill>
        </w:rPr>
        <w:t>焕然一新</w:t>
      </w:r>
      <w:bookmarkEnd w:id="22"/>
      <w:bookmarkEnd w:id="23"/>
      <w:bookmarkEnd w:id="24"/>
    </w:p>
    <w:p>
      <w:pPr>
        <w:pStyle w:val="15"/>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持续推动利青一体化发展，举全市之力推进盐同红集中连片贫困区区域发展与脱贫富民攻坚工程，</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城乡山川发展展现新面貌。</w:t>
      </w:r>
      <w:r>
        <w:rPr>
          <w:rStyle w:val="29"/>
          <w:rFonts w:hint="default" w:ascii="Times New Roman" w:hAnsi="Times New Roman" w:eastAsia="方正仿宋_GBK" w:cs="Times New Roman"/>
          <w:color w:val="000000" w:themeColor="text1"/>
          <w:highlight w:val="none"/>
          <w14:textFill>
            <w14:solidFill>
              <w14:schemeClr w14:val="tx1"/>
            </w14:solidFill>
          </w14:textFill>
        </w:rPr>
        <w:t>城乡宜居品质提升。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城市建成区扩展到125平方公里，常住人口城镇化率提升至52%。建成市人民医院、吴忠高铁站等一批重大民生工程。建成保障性住房29898套，完成老旧小区改造398个，惠及住户6.2万户。金积镇被列为全区首批经济发达镇改革试点，培育了金银滩镇、大水坑镇、韦州镇3个特色小镇，累计建设美丽小城镇28个，美丽村庄示范点208个。成功创建国家卫生城市，全国双拥模范城再获殊荣，全国文明城市创建扎实推进。</w:t>
      </w:r>
      <w:r>
        <w:rPr>
          <w:rStyle w:val="29"/>
          <w:rFonts w:hint="default" w:ascii="Times New Roman" w:hAnsi="Times New Roman" w:eastAsia="方正仿宋_GBK" w:cs="Times New Roman"/>
          <w:color w:val="000000" w:themeColor="text1"/>
          <w:highlight w:val="none"/>
          <w14:textFill>
            <w14:solidFill>
              <w14:schemeClr w14:val="tx1"/>
            </w14:solidFill>
          </w14:textFill>
        </w:rPr>
        <w:t>基础设施日臻完善。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银西高铁、吴忠至中卫城际铁路建成通车，圆了吴忠人民的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高铁梦</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，京藏高速（吴忠段</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）改扩建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工程全线通车</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，建制村通硬化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道</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路实现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全覆盖。高标准</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完成</w:t>
      </w:r>
      <w:r>
        <w:rPr>
          <w:rFonts w:hint="eastAsia" w:ascii="Times New Roman" w:hAnsi="Times New Roman" w:eastAsia="方正仿宋_GBK" w:cs="Times New Roman"/>
          <w:color w:val="000000" w:themeColor="text1"/>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城市双修</w:t>
      </w:r>
      <w:r>
        <w:rPr>
          <w:rFonts w:hint="eastAsia" w:ascii="Times New Roman" w:hAnsi="Times New Roman" w:eastAsia="方正仿宋_GBK" w:cs="Times New Roman"/>
          <w:color w:val="000000" w:themeColor="text1"/>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，实施</w:t>
      </w:r>
      <w:r>
        <w:rPr>
          <w:rFonts w:hint="eastAsia" w:ascii="Times New Roman" w:hAnsi="Times New Roman" w:eastAsia="方正仿宋_GBK" w:cs="Times New Roman"/>
          <w:color w:val="000000" w:themeColor="text1"/>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四横五纵</w:t>
      </w:r>
      <w:r>
        <w:rPr>
          <w:rFonts w:hint="eastAsia" w:ascii="Times New Roman" w:hAnsi="Times New Roman" w:eastAsia="方正仿宋_GBK" w:cs="Times New Roman"/>
          <w:color w:val="000000" w:themeColor="text1"/>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一渠一河</w:t>
      </w:r>
      <w:r>
        <w:rPr>
          <w:rFonts w:hint="eastAsia" w:ascii="Times New Roman" w:hAnsi="Times New Roman" w:eastAsia="方正仿宋_GBK" w:cs="Times New Roman"/>
          <w:color w:val="000000" w:themeColor="text1"/>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zh-CN" w:eastAsia="zh-CN"/>
          <w14:textFill>
            <w14:solidFill>
              <w14:schemeClr w14:val="tx1"/>
            </w14:solidFill>
          </w14:textFill>
        </w:rPr>
        <w:t>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吴忠东线供水工程顺利推进，建成下马关水库、隰宁堡水库等调蓄水工程。城乡市政设施建设取得重大进展，互联网普及率达到90%。</w:t>
      </w:r>
    </w:p>
    <w:p>
      <w:pPr>
        <w:pStyle w:val="4"/>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25" w:name="_Toc435057157"/>
      <w:bookmarkStart w:id="26" w:name="_Toc27973"/>
      <w:bookmarkStart w:id="27" w:name="_Toc1940"/>
      <w:bookmarkStart w:id="28" w:name="_Toc18874"/>
      <w:bookmarkStart w:id="29" w:name="_Toc1087"/>
      <w:r>
        <w:rPr>
          <w:rFonts w:hint="default" w:ascii="Times New Roman" w:hAnsi="Times New Roman" w:cs="Times New Roman"/>
          <w:b w:val="0"/>
          <w:color w:val="000000" w:themeColor="text1"/>
          <w:highlight w:val="none"/>
          <w:lang w:val="en-US" w:eastAsia="zh-CN"/>
          <w14:textFill>
            <w14:solidFill>
              <w14:schemeClr w14:val="tx1"/>
            </w14:solidFill>
          </w14:textFill>
        </w:rPr>
        <w:t>四、生态优先绿色发展，</w:t>
      </w:r>
      <w:bookmarkEnd w:id="25"/>
      <w:bookmarkEnd w:id="26"/>
      <w:r>
        <w:rPr>
          <w:rFonts w:hint="default" w:ascii="Times New Roman" w:hAnsi="Times New Roman" w:cs="Times New Roman"/>
          <w:b w:val="0"/>
          <w:color w:val="000000" w:themeColor="text1"/>
          <w:highlight w:val="none"/>
          <w:lang w:val="en-US" w:eastAsia="zh-CN"/>
          <w14:textFill>
            <w14:solidFill>
              <w14:schemeClr w14:val="tx1"/>
            </w14:solidFill>
          </w14:textFill>
        </w:rPr>
        <w:t>环境质量明显改善</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生态文明建设不断加强。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成全区首个全国生态文明建设示范市、全国绿化模范城市、中国十佳绿色城市。实施三北防护林五期、引黄灌区平原绿网提升等重大工程，累计完成营造林150万亩以上，森林覆盖率达到17.5%。城市建成区绿地率、绿化覆盖率、人均公园绿地面积分别达到41%、42%和22平方米。湿地保护率达到55%以上，成功申报青铜峡鸟岛等3个国家级湿地公园。累计治理荒漠化土地642万亩，盐池、同心两县被评为全国防沙治沙先进集体，青铜峡市荣获全国生态建设突出贡献奖。</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环境污染防治深入开展。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全力打好蓝天碧水净土三大保卫战，</w:t>
      </w:r>
      <w:r>
        <w:rPr>
          <w:rFonts w:hint="default" w:ascii="Times New Roman" w:hAnsi="Times New Roman" w:eastAsia="方正仿宋_GBK" w:cs="Times New Roman"/>
          <w:color w:val="000000" w:themeColor="text1"/>
          <w:highlight w:val="none"/>
          <w14:textFill>
            <w14:solidFill>
              <w14:schemeClr w14:val="tx1"/>
            </w14:solidFill>
          </w14:textFill>
        </w:rPr>
        <w:t>完成火电、</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水泥等重点行业环保设施改造，划定全区首个城市禁煤区，2020年全市空气质量优良天数比例达到83.9%；严格落实河（湖）长制，统筹推进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五水同治</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，城市生活污水全部达到一级A排放标准，黄河吴忠出境断面水质保持</w:t>
      </w:r>
      <w:r>
        <w:rPr>
          <w:rFonts w:hint="default" w:ascii="Times New Roman" w:hAnsi="Times New Roman" w:eastAsia="方正仿宋_GBK" w:cs="Times New Roman"/>
          <w:color w:val="000000" w:themeColor="text1"/>
          <w:highlight w:val="none"/>
          <w14:textFill>
            <w14:solidFill>
              <w14:schemeClr w14:val="tx1"/>
            </w14:solidFill>
          </w14:textFill>
        </w:rPr>
        <w:t>Ⅱ</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类，黄河清</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四乱</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取得明显成效，成功创建全国城市黑臭水体治理示范市；耕地保护连续5年获自治区目标责任考核一等奖。</w:t>
      </w:r>
    </w:p>
    <w:p>
      <w:pPr>
        <w:pStyle w:val="4"/>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30" w:name="_Toc21565"/>
      <w:bookmarkStart w:id="31" w:name="_Toc27809"/>
      <w:bookmarkStart w:id="32" w:name="_Toc18412"/>
      <w:bookmarkStart w:id="33" w:name="_Toc32639"/>
      <w:r>
        <w:rPr>
          <w:rFonts w:hint="default" w:ascii="Times New Roman" w:hAnsi="Times New Roman" w:cs="Times New Roman"/>
          <w:b w:val="0"/>
          <w:color w:val="000000" w:themeColor="text1"/>
          <w:highlight w:val="none"/>
          <w:lang w:val="en-US" w:eastAsia="zh-CN"/>
          <w14:textFill>
            <w14:solidFill>
              <w14:schemeClr w14:val="tx1"/>
            </w14:solidFill>
          </w14:textFill>
        </w:rPr>
        <w:t>五、改革开放深入推进，</w:t>
      </w:r>
      <w:bookmarkEnd w:id="30"/>
      <w:r>
        <w:rPr>
          <w:rFonts w:hint="default" w:ascii="Times New Roman" w:hAnsi="Times New Roman" w:cs="Times New Roman"/>
          <w:b w:val="0"/>
          <w:color w:val="000000" w:themeColor="text1"/>
          <w:highlight w:val="none"/>
          <w:lang w:val="en-US" w:eastAsia="zh-CN"/>
          <w14:textFill>
            <w14:solidFill>
              <w14:schemeClr w14:val="tx1"/>
            </w14:solidFill>
          </w14:textFill>
        </w:rPr>
        <w:t>发展活力不断释放</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重点改革纵深推进。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在全区率先推行个体工商户登记制度改革，探索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一照通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等审批改革，营商环境持续优化，全市市场主体总量突破10万户。农村集体产权制度改革成效显著，全市323个集体经济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空壳村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全部清除，农村产权交易中心累计交易额2.42亿元。全面推进国资国企改革，组建成立8家投资运营公司，国资监管效能不断提升。教育、文化、医疗、社会治理等改革深入推进，工商注册制度便利化和</w:t>
      </w:r>
      <w:r>
        <w:rPr>
          <w:rFonts w:hint="default" w:ascii="Times New Roman" w:hAnsi="Times New Roman" w:eastAsia="方正仿宋_GBK" w:cs="Times New Roman"/>
          <w:color w:val="000000" w:themeColor="text1"/>
          <w:highlight w:val="none"/>
          <w14:textFill>
            <w14:solidFill>
              <w14:schemeClr w14:val="tx1"/>
            </w14:solidFill>
          </w14:textFill>
        </w:rPr>
        <w:t>盐池县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公立医院综合改革受到国务院通报表扬，综合执法改革、农业水价综合改革等走在全区前列。</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对外开放水平不断提升。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对外贸易便利化水平明显提高，</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宁贸通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为全市外经贸企业提供一站式供应链服务。成功举办2019西部制造业高质量发展论坛、中科院留学人员第三届</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一带一路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科技论坛—技术交流合作。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挺进大中城市</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战略成果丰</w:t>
      </w:r>
      <w:r>
        <w:rPr>
          <w:rFonts w:hint="default" w:ascii="Times New Roman" w:hAnsi="Times New Roman" w:eastAsia="方正仿宋_GBK" w:cs="Times New Roman"/>
          <w:color w:val="000000" w:themeColor="text1"/>
          <w:spacing w:val="6"/>
          <w:sz w:val="32"/>
          <w:highlight w:val="none"/>
          <w:lang w:val="en-US" w:eastAsia="zh-CN"/>
          <w14:textFill>
            <w14:solidFill>
              <w14:schemeClr w14:val="tx1"/>
            </w14:solidFill>
          </w14:textFill>
        </w:rPr>
        <w:t>硕，建成特色产品展示展销中心42个，累计实现销售额11.3亿元。</w:t>
      </w:r>
    </w:p>
    <w:p>
      <w:pPr>
        <w:pStyle w:val="4"/>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34" w:name="_Toc435057158"/>
      <w:bookmarkStart w:id="35" w:name="_Toc28204"/>
      <w:bookmarkStart w:id="36" w:name="_Toc4412"/>
      <w:bookmarkStart w:id="37" w:name="_Toc24295"/>
      <w:bookmarkStart w:id="38" w:name="_Toc1718"/>
      <w:r>
        <w:rPr>
          <w:rFonts w:hint="default" w:ascii="Times New Roman" w:hAnsi="Times New Roman" w:cs="Times New Roman"/>
          <w:b w:val="0"/>
          <w:color w:val="000000" w:themeColor="text1"/>
          <w:highlight w:val="none"/>
          <w:lang w:val="en-US" w:eastAsia="zh-CN"/>
          <w14:textFill>
            <w14:solidFill>
              <w14:schemeClr w14:val="tx1"/>
            </w14:solidFill>
          </w14:textFill>
        </w:rPr>
        <w:t>六、以人为本共享发展，</w:t>
      </w:r>
      <w:bookmarkEnd w:id="34"/>
      <w:bookmarkEnd w:id="35"/>
      <w:r>
        <w:rPr>
          <w:rFonts w:hint="default" w:ascii="Times New Roman" w:hAnsi="Times New Roman" w:cs="Times New Roman"/>
          <w:b w:val="0"/>
          <w:color w:val="000000" w:themeColor="text1"/>
          <w:highlight w:val="none"/>
          <w:lang w:val="en-US" w:eastAsia="zh-CN"/>
          <w14:textFill>
            <w14:solidFill>
              <w14:schemeClr w14:val="tx1"/>
            </w14:solidFill>
          </w14:textFill>
        </w:rPr>
        <w:t>民生福祉全面增强</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9" w:name="_Toc435057159"/>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不断优化民生支出结构，每年80%以上财政支出用于保障改善民生，确保人民群众的幸福感、获得感更加充实、更可持续。</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就业形势保持稳定。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搭建各类就业创业园、孵化基地13个，累计新增城镇就业6.88万人，城镇登记失业率控制在3.05%。城镇、农村居民人均可支配收入分别达到31159.5元、14698.3元，年均分别增长7.8%、9.6%。</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教育教学质量显著提高。</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基本消除</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超大班额</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，普惠性幼儿园占比达到80%。推进集团化办学，组建利青教育发展共同体、银吴校际教学教研共同体等74个。各县（市、区）顺利通过国家义务教育均衡发展评估验收，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互联网+教育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的建设和应用水平不断提升。</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卫生健康服务能力持续提升。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新冠肺炎疫情防控取得阶段性胜利，医疗卫生服务体系不断完善，全市乡镇卫生院标准化建设实现全覆盖。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互联网+医疗健康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建设初见成效，健康吴忠建设扎实推进，居民健康素养显著提升。</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文化体育事业蓬勃发展。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广泛开展社会主义核心价值观宣传教育。创建为国家公共文化服务体系示范区，6个公共文化场馆被评为国家一级馆，成功申报国家级非物质文化遗产6项，引黄古灌区成功入选世界灌溉工程遗产名录。公共体育设施不断完善，</w:t>
      </w:r>
      <w:r>
        <w:rPr>
          <w:rFonts w:hint="default" w:ascii="Times New Roman" w:hAnsi="Times New Roman" w:eastAsia="方正仿宋_GBK" w:cs="Times New Roman"/>
          <w:color w:val="000000" w:themeColor="text1"/>
          <w:highlight w:val="none"/>
          <w14:textFill>
            <w14:solidFill>
              <w14:schemeClr w14:val="tx1"/>
            </w14:solidFill>
          </w14:textFill>
        </w:rPr>
        <w:t>行政村农民体育健身工程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实现全覆盖</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成功承办自治区第十五届运动会，</w:t>
      </w:r>
      <w:r>
        <w:rPr>
          <w:rFonts w:hint="default" w:ascii="Times New Roman" w:hAnsi="Times New Roman" w:eastAsia="方正仿宋_GBK" w:cs="Times New Roman"/>
          <w:color w:val="000000" w:themeColor="text1"/>
          <w:highlight w:val="none"/>
          <w14:textFill>
            <w14:solidFill>
              <w14:schemeClr w14:val="tx1"/>
            </w14:solidFill>
          </w14:textFill>
        </w:rPr>
        <w:t>黄河金岸（吴忠）国际马拉松等赛事成为享誉区内外的品牌赛事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社会保障体系更加完善。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全市养老保险、基本医疗保险参保率均达到95%以上，80岁以上老年人实现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零缴费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参保。城乡低保提标扩面，覆盖率分别为3.14%和9.57%，建成35所养老服务机构，每千名老人拥有养老床位数达到35张以上，妇女儿童、残疾人、红十字、慈善等事业健康发展。</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社会治理成效显著。</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重大风险防控扎实有力，食品药品安全监管水平全面提升，地震气象监测预警、应急救援、防灾减灾工作不断加强。扫黑除恶专项斗争战果明显，基层社会治理创新推进，平安吴忠、法治吴忠建设全面深化，成为全区首批安全发展示范创建城市。民族团结进步事业再上台阶，宗教治理法治化水平明显提升。</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全面从严治党纵深推进。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两学一做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学习教育持续深化，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不忘初心、牢记使命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主题教育成效明显，党的建设全面加强。正风肃纪持续加力，反腐败斗争保持高压态势，党风政风持续好转，全面从严治党向纵深发展、向基层延伸。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尤为重要的是，习近平总书记两次视察宁夏，亲临吴忠调研脱贫攻坚、黄河流域生态保护和高质量发展、民族团结等工作，做出重要指示，为吴忠当前和今后一个时期的经济社会高质量发展指明了前进方向，提供了根本遵循，注入了强大动力。全市上下深入学习、全面贯彻，凝聚了共识，振奋了精神，鼓足了干劲，各方面工作迈出坚实步伐。</w:t>
      </w:r>
    </w:p>
    <w:bookmarkEnd w:id="39"/>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40" w:name="_Toc435057160"/>
      <w:bookmarkStart w:id="41" w:name="_Toc29620"/>
      <w:bookmarkStart w:id="42" w:name="_Toc7696"/>
      <w:bookmarkStart w:id="43" w:name="_Toc12815"/>
      <w:bookmarkStart w:id="44" w:name="_Toc4685"/>
      <w:bookmarkStart w:id="45" w:name="_Toc4115"/>
      <w:r>
        <w:rPr>
          <w:rFonts w:hint="default" w:ascii="Times New Roman" w:hAnsi="Times New Roman" w:eastAsia="方正黑体简体" w:cs="Times New Roman"/>
          <w:b w:val="0"/>
          <w:bCs/>
          <w:color w:val="000000"/>
          <w:spacing w:val="0"/>
          <w:kern w:val="2"/>
          <w:sz w:val="32"/>
          <w:szCs w:val="32"/>
          <w:lang w:val="en-US" w:eastAsia="zh-CN" w:bidi="ar-SA"/>
        </w:rPr>
        <w:t xml:space="preserve">第二节 </w:t>
      </w:r>
      <w:bookmarkEnd w:id="40"/>
      <w:r>
        <w:rPr>
          <w:rFonts w:hint="default" w:ascii="Times New Roman" w:hAnsi="Times New Roman" w:eastAsia="方正黑体简体" w:cs="Times New Roman"/>
          <w:b w:val="0"/>
          <w:bCs/>
          <w:color w:val="000000"/>
          <w:spacing w:val="0"/>
          <w:kern w:val="2"/>
          <w:sz w:val="32"/>
          <w:szCs w:val="32"/>
          <w:lang w:val="en-US" w:eastAsia="zh-CN" w:bidi="ar-SA"/>
        </w:rPr>
        <w:t xml:space="preserve"> </w:t>
      </w:r>
      <w:r>
        <w:rPr>
          <w:rFonts w:hint="eastAsia" w:ascii="Times New Roman" w:hAnsi="Times New Roman" w:eastAsia="方正黑体简体" w:cs="Times New Roman"/>
          <w:b w:val="0"/>
          <w:bCs/>
          <w:color w:val="000000"/>
          <w:spacing w:val="0"/>
          <w:kern w:val="2"/>
          <w:sz w:val="32"/>
          <w:szCs w:val="32"/>
          <w:lang w:val="en-US" w:eastAsia="zh-CN" w:bidi="ar-SA"/>
        </w:rPr>
        <w:t>“</w:t>
      </w:r>
      <w:r>
        <w:rPr>
          <w:rFonts w:hint="default" w:ascii="Times New Roman" w:hAnsi="Times New Roman" w:eastAsia="方正黑体简体" w:cs="Times New Roman"/>
          <w:b w:val="0"/>
          <w:bCs/>
          <w:color w:val="000000"/>
          <w:spacing w:val="0"/>
          <w:kern w:val="2"/>
          <w:sz w:val="32"/>
          <w:szCs w:val="32"/>
          <w:lang w:val="en-US" w:eastAsia="zh-CN" w:bidi="ar-SA"/>
        </w:rPr>
        <w:t>十四五</w:t>
      </w:r>
      <w:r>
        <w:rPr>
          <w:rFonts w:hint="eastAsia" w:ascii="Times New Roman" w:hAnsi="Times New Roman" w:eastAsia="方正黑体简体" w:cs="Times New Roman"/>
          <w:b w:val="0"/>
          <w:bCs/>
          <w:color w:val="000000"/>
          <w:spacing w:val="0"/>
          <w:kern w:val="2"/>
          <w:sz w:val="32"/>
          <w:szCs w:val="32"/>
          <w:lang w:val="en-US" w:eastAsia="zh-CN" w:bidi="ar-SA"/>
        </w:rPr>
        <w:t>”</w:t>
      </w:r>
      <w:r>
        <w:rPr>
          <w:rFonts w:hint="default" w:ascii="Times New Roman" w:hAnsi="Times New Roman" w:eastAsia="方正黑体简体" w:cs="Times New Roman"/>
          <w:b w:val="0"/>
          <w:bCs/>
          <w:color w:val="000000"/>
          <w:spacing w:val="0"/>
          <w:kern w:val="2"/>
          <w:sz w:val="32"/>
          <w:szCs w:val="32"/>
          <w:lang w:val="en-US" w:eastAsia="zh-CN" w:bidi="ar-SA"/>
        </w:rPr>
        <w:t>发展环境</w:t>
      </w:r>
      <w:bookmarkEnd w:id="41"/>
      <w:bookmarkEnd w:id="42"/>
      <w:bookmarkEnd w:id="43"/>
      <w:bookmarkEnd w:id="44"/>
      <w:bookmarkEnd w:id="45"/>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深入认识和把握中华民族伟大复兴的战略全局和世界百年未有之大变局</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两个大局</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，科学研判国际国内大势，吴忠迈向社会主义现代化建设新征程必须紧抓</w:t>
      </w:r>
      <w:r>
        <w:rPr>
          <w:rFonts w:hint="default" w:ascii="Times New Roman" w:hAnsi="Times New Roman" w:eastAsia="方正仿宋_GBK" w:cs="Times New Roman"/>
          <w:color w:val="000000" w:themeColor="text1"/>
          <w:highlight w:val="none"/>
          <w14:textFill>
            <w14:solidFill>
              <w14:schemeClr w14:val="tx1"/>
            </w14:solidFill>
          </w14:textFill>
        </w:rPr>
        <w:t>机遇</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应对</w:t>
      </w:r>
      <w:r>
        <w:rPr>
          <w:rFonts w:hint="default" w:ascii="Times New Roman" w:hAnsi="Times New Roman" w:eastAsia="方正仿宋_GBK" w:cs="Times New Roman"/>
          <w:color w:val="000000" w:themeColor="text1"/>
          <w:highlight w:val="none"/>
          <w14:textFill>
            <w14:solidFill>
              <w14:schemeClr w14:val="tx1"/>
            </w14:solidFill>
          </w14:textFill>
        </w:rPr>
        <w:t>挑战。</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从国际看，发展环境日趋复杂。</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新冠肺炎疫情</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影响下</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世界经济深度衰退，</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对</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全球产业链、供应链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造成</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巨大冲击。经济全球化遭遇逆流，国际经贸规则面临重构，国际分工格局和经济治理体系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变革加速推进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。和平与发展仍然是时代主题，新一轮科技革命和产业革命正在深入推进，绿色低碳和包容增长成为共识，全球能源供需格局深刻调整，围绕市场、科技、资源、文化、人才和国际规则影响力的竞争更趋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激烈</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从国内看，发展进入新阶段。</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我国已转向高质量发展阶段，经济稳中向好、长期向好的基本趋势没有变，韧性好、潜力足、回旋空间大的基本特质没有变。雄厚的物质技术基础，超大的市场规模和内需潜力，庞大的人力资本和人才资源，特别是制度优势和治理效能协同推进，让我们完全有能力应对来自各方面的挑战。同时，发展不平衡不充分问题仍然突出，结构性、体制性、周期性问题相互交织，经济运行面临较大压力，社会主要矛盾变化带来一系列新特征新要求，统筹推进经济与社会、发展与安全、开发与保护需要付出长期艰苦努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从区域看，发展面临新机遇新挑战。</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党中央作出了构建以国内大循环为主体、国内国际双循环相互促进新发展格局的战略部署，加快建立区域协调发展新机制，推进西部大开发形成新格局，在西部地区脱贫县集中支持建设一批乡村振兴重点帮扶县，必将对欠发达地区带来诸多政策利好、项目利好、投资利好，为吴忠市加快经济转型升级、承接东部产业转移、强化对外开放合作、全面推进乡村振兴等带来重大机遇。特别是习近平总书记赋予宁夏建设黄河流域生态保护和高质量发展先行区的历史使命，自治区实施黄河黑山峡段开发、陕甘宁革命老区供水、太中银铁路扩能改造等重大项目，以及银西高铁的开通运营，为吴忠发展提供了千载难逢的重大机遇。吴忠处在宁夏沿黄经济带重要节点，产业特色比较鲜明，经济发展态势良好，具有一定的区位优势、比较优势和后发优势。</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同时必须清醒认识到，发展不足仍是吴忠最大的实际，经济社会发展还存在深层次的问题与挑战：经济结构不优、产业层次较低与高质量发展要求不适应；新旧动能转化不到位，传统产业拉动力量逐渐减弱，新兴产业的主导作用还不突出；高层次人才缺乏，科技创新对经济增长的贡献较弱；生态保护和流域治理提出更高要求，生态文明建设和环境保护工作任重道远；区域发展不平衡问题依然突出，城乡基础设施承载能力和公共服务供给水平与人民群众新期盼还有较大差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从整体看，当前和今后一个时期，吴忠发展仍然处于重要战略机遇期，但机遇和挑战都有新的发展变化。全市上下要坚定信心、振奋精神，坚持发展第一要务，深刻认识新发展阶段带来的新特征新要求，增强机遇意识和风险意识，保持战略定力，准确识变、科学应变、主动求变，善于化危为机，在危机中育先机、于变局中开新局，全面完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规划目标任务，奋力开启社会主义现代化建设新征程。</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46" w:name="_Toc15555"/>
      <w:r>
        <w:rPr>
          <w:rFonts w:hint="default" w:ascii="Times New Roman" w:hAnsi="Times New Roman" w:eastAsia="方正黑体简体" w:cs="Times New Roman"/>
          <w:color w:val="000000"/>
          <w:spacing w:val="0"/>
          <w:sz w:val="32"/>
          <w:szCs w:val="32"/>
          <w:lang w:val="en-US" w:eastAsia="zh-CN"/>
        </w:rPr>
        <w:t>第三节  二〇三五年远景目标</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紧扣</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两个一百年</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奋斗目标，深入贯彻落实习近平总书记视察宁夏重要讲话精神，紧紧围绕继续建设经济繁荣民族团结环境优美人民富裕的美丽新宁夏的宏伟目标，最大限度调动广大人民群众追求美好生活的积极性、主动性、创造性，砥砺前行15年，努力建成转型发展先行市、民族团结模范市、生态建设样板市、宜居宜业示范市，全面建设现代化美丽新吴忠，与全国全区同步基本实现社会主义现代化。</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经济繁荣实现大跨越。</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2035年，全市经济总量比2020年翻一番以上，人均GDP接近全区平均水平，基本建成新时代宁夏经济强市。区域协调发展水平、城乡融合发展水平显著提升，创新能力、经济实力、科技实力大幅跃升，企业竞争力明显增强，基本实现新型工业化、信息化、城镇化、农业现代化，初步构建起富有吴忠特色的市域现代化经济体系。</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民族团结实现大进步。</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华民族共同体意识深深扎根于全市各族人民心中，各民族交往交流交融更加深入，民族关系更加团结和谐，民族团结进步创建走在全国前列，创成全国民族团结进步模范市。宗教与社会主义社会相适应，宗教关系更加和顺健康。</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环境优美实现大突破。</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生态文明建设取得重大成效，黄河流域生态保护和高质量发展先行区建设走在全区前列，主要污染物排放、能耗水耗大幅下降，广泛形成绿色生产生活方式，生态环境根本转变、持续向好，生态系统功能完善、稳定高效，生态文明制度体系健全完善、保障水平有力，基本建成天蓝地绿水秀的美丽吴忠。</w:t>
      </w:r>
      <w:r>
        <w:rPr>
          <w:rStyle w:val="29"/>
          <w:rFonts w:hint="default" w:ascii="Times New Roman" w:hAnsi="Times New Roman" w:eastAsia="方正仿宋_GBK" w:cs="Times New Roman"/>
          <w:color w:val="000000" w:themeColor="text1"/>
          <w:highlight w:val="none"/>
          <w:lang w:val="en-US" w:eastAsia="zh-CN"/>
          <w14:textFill>
            <w14:solidFill>
              <w14:schemeClr w14:val="tx1"/>
            </w14:solidFill>
          </w14:textFill>
        </w:rPr>
        <w:t>人民富裕实现大提升。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城乡居民人均可支配收入比2020年翻一番以上，达到全区平均水平。社会事业全面进步，基本公共服务实现均等化，公民素质和社会文明程度达到新高度，基本建成文化强市、教育强市、健康吴忠，人民生活更加美好，人的全面发展、全体人民共同富裕取得新成效。依法治市全面纵深推进，基本实现市域社会治理现代化，建成更高水平的法治吴忠、平安吴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cs="Times New Roman"/>
          <w:color w:val="000000" w:themeColor="text1"/>
          <w:sz w:val="30"/>
          <w:szCs w:val="30"/>
          <w:highlight w:val="none"/>
          <w:lang w:val="en-US" w:eastAsia="zh-CN"/>
          <w14:textFill>
            <w14:solidFill>
              <w14:schemeClr w14:val="tx1"/>
            </w14:solidFill>
          </w14:textFill>
        </w:rPr>
      </w:pPr>
    </w:p>
    <w:p>
      <w:pPr>
        <w:pStyle w:val="3"/>
        <w:bidi w:val="0"/>
        <w:rPr>
          <w:rFonts w:hint="default" w:ascii="Times New Roman" w:hAnsi="Times New Roman" w:cs="Times New Roman"/>
          <w:color w:val="000000" w:themeColor="text1"/>
          <w:highlight w:val="none"/>
          <w:lang w:val="en-US" w:eastAsia="zh-CN"/>
          <w14:textFill>
            <w14:solidFill>
              <w14:schemeClr w14:val="tx1"/>
            </w14:solidFill>
          </w14:textFill>
        </w:rPr>
      </w:pPr>
      <w:bookmarkStart w:id="47" w:name="_Toc1146"/>
      <w:bookmarkStart w:id="48" w:name="_Toc22910"/>
      <w:bookmarkStart w:id="49" w:name="_Toc3971"/>
      <w:r>
        <w:rPr>
          <w:rFonts w:hint="default" w:ascii="Times New Roman" w:hAnsi="Times New Roman" w:cs="Times New Roman"/>
          <w:color w:val="000000" w:themeColor="text1"/>
          <w:highlight w:val="none"/>
          <w:lang w:val="en-US" w:eastAsia="zh-CN"/>
          <w14:textFill>
            <w14:solidFill>
              <w14:schemeClr w14:val="tx1"/>
            </w14:solidFill>
          </w14:textFill>
        </w:rPr>
        <w:br w:type="page"/>
      </w:r>
      <w:bookmarkStart w:id="50" w:name="_Toc19743"/>
      <w:r>
        <w:rPr>
          <w:rFonts w:hint="default" w:ascii="Times New Roman" w:hAnsi="Times New Roman" w:eastAsia="黑体" w:cs="Times New Roman"/>
          <w:bCs/>
          <w:color w:val="000000"/>
          <w:spacing w:val="0"/>
          <w:kern w:val="2"/>
          <w:sz w:val="32"/>
          <w:szCs w:val="32"/>
          <w:lang w:val="en-US" w:eastAsia="zh-CN" w:bidi="ar-SA"/>
        </w:rPr>
        <w:t xml:space="preserve">第二章  </w:t>
      </w:r>
      <w:bookmarkEnd w:id="6"/>
      <w:r>
        <w:rPr>
          <w:rFonts w:hint="default" w:ascii="Times New Roman" w:hAnsi="Times New Roman" w:eastAsia="黑体" w:cs="Times New Roman"/>
          <w:bCs/>
          <w:color w:val="000000"/>
          <w:spacing w:val="0"/>
          <w:kern w:val="2"/>
          <w:sz w:val="32"/>
          <w:szCs w:val="32"/>
          <w:lang w:val="en-US" w:eastAsia="zh-CN" w:bidi="ar-SA"/>
        </w:rPr>
        <w:t>务实奋进谋划新篇  站在新起点全面开启新征程</w:t>
      </w:r>
      <w:bookmarkEnd w:id="47"/>
      <w:bookmarkEnd w:id="48"/>
      <w:bookmarkEnd w:id="49"/>
      <w:bookmarkEnd w:id="50"/>
    </w:p>
    <w:p>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51" w:name="_Toc22780"/>
      <w:bookmarkStart w:id="52" w:name="_Toc5024"/>
      <w:bookmarkStart w:id="53" w:name="_Toc19119"/>
      <w:bookmarkStart w:id="54" w:name="_Toc16974"/>
      <w:bookmarkStart w:id="55" w:name="_Toc23673"/>
      <w:bookmarkStart w:id="56" w:name="_Toc24655"/>
      <w:bookmarkStart w:id="57" w:name="_Toc17787"/>
      <w:r>
        <w:rPr>
          <w:rFonts w:hint="default" w:ascii="Times New Roman" w:hAnsi="Times New Roman" w:eastAsia="方正黑体简体" w:cs="Times New Roman"/>
          <w:color w:val="000000"/>
          <w:spacing w:val="0"/>
          <w:sz w:val="32"/>
          <w:szCs w:val="32"/>
          <w:lang w:val="en-US" w:eastAsia="zh-CN"/>
        </w:rPr>
        <w:t>第一节  指导思想</w:t>
      </w:r>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坚持以习近平新时代中国特色社会主义思想为指导，深入贯彻落实党的十九大和十九届二中、三中、四中、五中全会精神，习近平总书记视察宁夏重要讲话精神，增强</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四个意识</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，坚定</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四个自信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，坚决做到</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两个维护</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，全面落实自治区党委和政府的部署要求，坚定不移贯彻新发展理念，统筹推进</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五位一体</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总体布局，协调推进</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四个全面</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战略布局，以推动高质量发展为主题，以深化供给侧结构性改革为主线，以改革创新为根本动力，以满足人民日益增长的美好生活需要为根本目的，主动融入新发展格局，坚决守好促进民族团结、维护政治安全、改善生态环境</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三条生命线</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，走出一条高质量发展新路子，做好调、转、增、融</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四篇文章</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干在实处、走在前列，努力打造转型发展先行市、民族团结模范市、生态建设样板市、宜居宜业示范市，为建设现代化美丽新吴忠奠定扎实基础，为继续建设经济繁荣民族团结环境优美人民富裕的美丽新宁夏做出吴忠贡献。</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58" w:name="_Toc27341"/>
      <w:bookmarkStart w:id="59" w:name="_Toc19859"/>
      <w:bookmarkStart w:id="60" w:name="_Toc16148"/>
      <w:bookmarkStart w:id="61" w:name="_Toc24620"/>
      <w:bookmarkStart w:id="62" w:name="_Toc648"/>
      <w:r>
        <w:rPr>
          <w:rFonts w:hint="default" w:ascii="Times New Roman" w:hAnsi="Times New Roman" w:eastAsia="方正黑体简体" w:cs="Times New Roman"/>
          <w:color w:val="000000"/>
          <w:spacing w:val="0"/>
          <w:sz w:val="32"/>
          <w:szCs w:val="32"/>
          <w:lang w:val="en-US" w:eastAsia="zh-CN"/>
        </w:rPr>
        <w:t>第二节  基本原则</w:t>
      </w:r>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sz w:val="30"/>
          <w:szCs w:val="30"/>
          <w:highlight w:val="none"/>
          <w:lang w:val="en-US" w:eastAsia="zh-CN"/>
          <w14:textFill>
            <w14:solidFill>
              <w14:schemeClr w14:val="tx1"/>
            </w14:solidFill>
          </w14:textFill>
        </w:rPr>
      </w:pPr>
      <w:r>
        <w:rPr>
          <w:rStyle w:val="29"/>
          <w:rFonts w:hint="default" w:ascii="Times New Roman" w:hAnsi="Times New Roman"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坚持党的全面领导。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充分发挥党的政治优势和组织优势，全面落实党领导经济社会发展的体制机制，加强党对各领域各方面工作的领导，不断提高贯彻新发展理念、构建新发展格局能力和水平，为建设现代化美丽新吴忠提供根本保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坚持以人民为中心。</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践行全心全意为人民服务的根本宗旨，始终做到发展为了人民、发展依靠人民、发展成果由人民共享，尊重人民主体地位，维护人民根本利益，充分调动人民群众的积极性，办好民生实事，增进民生福祉，不断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坚持新发展理念。</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把新发展理念贯穿经济社会发展全过程和各领域，加快转变发展方式，推动质量变革、效率变革、动力变革，不断增强发展创新力竞争力，实现更高质量、更有效率、更加公平、更可持续、更为安全的发展。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坚持深化改革开放。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刻认识全面深化改革阶段性新特点新任务，紧盯解决突出问题，推动更深层次改革和更高水平开放，提高改革开放的战略性、前瞻性、针对性，建设更高水平开放型经济新体制，推动改革和开放深度融合、高效联动，为构建新发展格局提供强大动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坚持全面系统发展。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立足吴忠发展实际，积极推进市域社会治理体系和治理能力现代化，围绕发展和安全两件大事，坚持各项工作系统谋划、整体推进，着力固根基、扬优势、补短板、强弱项，着重防范化解重大风险挑战，实现发展规模、速度、质量、结构、效益、安全相统一。</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63" w:name="_Toc28904"/>
      <w:r>
        <w:rPr>
          <w:rFonts w:hint="default" w:ascii="Times New Roman" w:hAnsi="Times New Roman" w:eastAsia="方正黑体简体" w:cs="Times New Roman"/>
          <w:color w:val="000000"/>
          <w:spacing w:val="0"/>
          <w:sz w:val="32"/>
          <w:szCs w:val="32"/>
          <w:lang w:val="en-US" w:eastAsia="zh-CN"/>
        </w:rPr>
        <w:t>第三节  发展定位</w:t>
      </w:r>
      <w:bookmarkEnd w:id="63"/>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以争当黄河流域生态保护和高质量发展先行区排头兵为统领，打造转型发展先行市、民族团结模范市、生态建设样板市、宜居宜业示范市，全面建设现代化美丽新吴忠。</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打造转型发展先行市。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创新求突破，促进高端化、智能化、绿色化、融合化转型发展，建立以奶产业为代表的现代农业产业体系、生产体系、经营体系，建设西部绿色食品生产基地；加快以高端控制阀为核心的智能制造提质扩量，打造西部精密高端制造基地，培育研发设计、柔性定制、共享生产等新兴业态，推动服务业与制造业深度融合；弘扬黄河文化、传承历史文脉，推动文旅康养融合发展，打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文旅康养打卡地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新名片。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打造民族团结模范市。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贯彻落实党的民族政策，守好促进民族团结生命线，深入开展中华民族共同体教育，不断夯实民族团结进步的物质基础，促进实现公共服务同质、法治保障同权、精神家园同建、社会和谐同创，建设民族团结进步模范市，推动吴忠民族团结进步工作走在全国前列。</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打造生态建设样板市。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贯彻习近平生态文明思想，坚持山水林田湖草沙系统治理，以贺兰山东麓、罗山、哈巴湖自然保护区及黄河、清水河绿色生态走廊为重点，着力提升生态系统质量和稳定性，构建全域生态保护体系。优化提升资源利用效率，推动低碳循环发展，不断完善生态文明保障机制，提升绿色发展效益，打造环境优美生态建设样板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打造宜居宜业示范市。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全市一盘棋，立足发挥区域比较优势和缩小城乡发展差距，全面推进乡村振兴和新型城镇化战略，科学布局生产生活生态空间，提高资源要素配置效率，优化产业布局和合理分工，构建基础设施网络体系，促进公共服务普惠共享，加强和创新社会治理体系，打造宜居宜业示范市。</w:t>
      </w:r>
    </w:p>
    <w:p>
      <w:pPr>
        <w:pStyle w:val="2"/>
        <w:keepNext/>
        <w:keepLines/>
        <w:pageBreakBefore w:val="0"/>
        <w:widowControl w:val="0"/>
        <w:kinsoku/>
        <w:wordWrap/>
        <w:overflowPunct/>
        <w:topLinePunct w:val="0"/>
        <w:autoSpaceDE/>
        <w:autoSpaceDN/>
        <w:bidi w:val="0"/>
        <w:adjustRightInd/>
        <w:snapToGrid/>
        <w:spacing w:line="570" w:lineRule="atLeas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64" w:name="_Toc8743"/>
      <w:bookmarkStart w:id="65" w:name="_Toc22688"/>
      <w:r>
        <w:rPr>
          <w:rFonts w:hint="default" w:ascii="Times New Roman" w:hAnsi="Times New Roman" w:eastAsia="方正黑体简体" w:cs="Times New Roman"/>
          <w:color w:val="000000"/>
          <w:spacing w:val="0"/>
          <w:sz w:val="32"/>
          <w:szCs w:val="32"/>
          <w:lang w:val="en-US" w:eastAsia="zh-CN"/>
        </w:rPr>
        <w:t>第四节  发展目标</w:t>
      </w:r>
      <w:bookmarkEnd w:id="64"/>
      <w:bookmarkEnd w:id="65"/>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时期，锚定2035年远景目标，经济社会发展努力实现以下主要目标：</w:t>
      </w:r>
    </w:p>
    <w:p>
      <w:pPr>
        <w:keepNext w:val="0"/>
        <w:keepLines w:val="0"/>
        <w:pageBreakBefore w:val="0"/>
        <w:widowControl w:val="0"/>
        <w:kinsoku/>
        <w:wordWrap/>
        <w:overflowPunct/>
        <w:topLinePunct w:val="0"/>
        <w:autoSpaceDE/>
        <w:autoSpaceDN/>
        <w:bidi w:val="0"/>
        <w:adjustRightInd/>
        <w:snapToGrid/>
        <w:spacing w:line="570" w:lineRule="atLeas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经济发展实现新跨越。</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经济保持量的合理增长和质的稳步提升，地区生产总值年均增速高于全区平均水平0.5个百分点，规模以上工业增加值年均增速保持在10%以上，城乡居民收入年均增速达到全区平均水平。创新能力明显增强，研究与实验发展（R&amp;D）经费投入强度达到2.2%。经济结构持续优化，新产业新业态新模式逐步壮大，产业高端化、绿色化、智能化、融合化发展水平显著提高。新型城镇化和乡村振兴协同发展取得明显成效，全域高质量发展新格局初步形成。</w:t>
      </w:r>
    </w:p>
    <w:p>
      <w:pPr>
        <w:keepNext w:val="0"/>
        <w:keepLines w:val="0"/>
        <w:pageBreakBefore w:val="0"/>
        <w:widowControl w:val="0"/>
        <w:kinsoku/>
        <w:wordWrap/>
        <w:overflowPunct/>
        <w:topLinePunct w:val="0"/>
        <w:autoSpaceDE/>
        <w:autoSpaceDN/>
        <w:bidi w:val="0"/>
        <w:adjustRightInd/>
        <w:snapToGrid/>
        <w:spacing w:line="570" w:lineRule="atLeast"/>
        <w:ind w:firstLine="642" w:firstLineChars="200"/>
        <w:textAlignment w:val="auto"/>
        <w:rPr>
          <w:rFonts w:hint="default" w:ascii="Times New Roman" w:hAnsi="Times New Roman" w:eastAsia="方正仿宋_GBK" w:cs="Times New Roman"/>
          <w:color w:val="000000" w:themeColor="text1"/>
          <w:sz w:val="30"/>
          <w:szCs w:val="30"/>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改革开放迈出新步伐。</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各项改革的系统性协同性整体性进一步增强，市场化改革、农业农村、生态建设、市域社会治理等领域改革取得明显成效，持续深化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放管服</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改革，营商环境建设走在全区前列，市场机制作用明显，市场主体充满活力。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开放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型经济</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体制机制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不断完善</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新优势不断显现，新动能不断增强</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atLeas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社会文明取得新进步。</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社会主义核心价值观深入人心，精神文明建设水平稳步提升，全民思想道德素质、科学文化素质和身心健康素质明显提高，公共文化服务体系和文化产业体系更加健全，人民精神文化生活日益丰富，黄河文化传承彰显区魅力显现，文化自信进一步增强，创建成为全国文明城市、全域旅游示范区，全市人民共有精神家园根基更加牢固。</w:t>
      </w:r>
    </w:p>
    <w:p>
      <w:pPr>
        <w:keepNext w:val="0"/>
        <w:keepLines w:val="0"/>
        <w:pageBreakBefore w:val="0"/>
        <w:widowControl w:val="0"/>
        <w:kinsoku/>
        <w:wordWrap/>
        <w:overflowPunct/>
        <w:topLinePunct w:val="0"/>
        <w:autoSpaceDE/>
        <w:autoSpaceDN/>
        <w:bidi w:val="0"/>
        <w:adjustRightInd/>
        <w:snapToGrid/>
        <w:spacing w:line="570" w:lineRule="atLeast"/>
        <w:ind w:firstLine="642" w:firstLineChars="200"/>
        <w:jc w:val="lef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生态文明得到新改善。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国土空间开发保护格局基本形成</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生态文明体制机制更加健全，绿色生产生活方式加快形成，黄河吴忠段生态环境持续向好，贺兰山东麓、罗山生态保护和修复明显加快，黄河干流吴忠出境段水质保持Ⅱ类，环境空气质量稳定达到国家二级标准，污染物排放总量明显降低，水环境承载能力明显提高，资源能源利用效率大幅提升，生态系统建设取得显著成效，城乡人居环境持续改善。</w:t>
      </w:r>
    </w:p>
    <w:p>
      <w:pPr>
        <w:keepNext w:val="0"/>
        <w:keepLines w:val="0"/>
        <w:pageBreakBefore w:val="0"/>
        <w:widowControl w:val="0"/>
        <w:kinsoku/>
        <w:wordWrap/>
        <w:overflowPunct/>
        <w:topLinePunct w:val="0"/>
        <w:autoSpaceDE/>
        <w:autoSpaceDN/>
        <w:bidi w:val="0"/>
        <w:adjustRightInd/>
        <w:snapToGrid/>
        <w:spacing w:line="570" w:lineRule="atLeast"/>
        <w:ind w:firstLine="642" w:firstLineChars="200"/>
        <w:textAlignment w:val="auto"/>
        <w:rPr>
          <w:rFonts w:hint="default" w:ascii="Times New Roman" w:hAnsi="Times New Roman" w:eastAsia="方正仿宋_GBK" w:cs="Times New Roman"/>
          <w:b w:val="0"/>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民生福祉达到新水平。</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实现更加充分更高质量的就业，全民受教育程度明显提升，基础教育实现优质均衡发展，基本公共服务均等化水平不断提高，多层次社会保障体系更加健全，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互联网+教育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互联网+医疗健康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建设走在全区前列，脱贫攻坚成果巩固提升，乡村振兴全面推进，人民生活品质进一步提升。</w:t>
      </w:r>
    </w:p>
    <w:p>
      <w:pPr>
        <w:keepNext w:val="0"/>
        <w:keepLines w:val="0"/>
        <w:pageBreakBefore w:val="0"/>
        <w:widowControl w:val="0"/>
        <w:kinsoku/>
        <w:wordWrap/>
        <w:overflowPunct/>
        <w:topLinePunct w:val="0"/>
        <w:autoSpaceDE/>
        <w:autoSpaceDN/>
        <w:bidi w:val="0"/>
        <w:adjustRightInd/>
        <w:snapToGrid/>
        <w:spacing w:after="157" w:afterLines="50" w:line="570" w:lineRule="atLeas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治理效能得到新提升。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法治市全面推进，法治吴忠、法治政府、法治社会建设迈上新台阶，平安吴忠深入推进，基层基础更加稳固，重大突发公共事件应急能力和防灾减灾抗灾救灾能力明显增强，防范化解重大风险和安全发展体制机制不断完善，民族团结进步、宗教和顺健康、社会和谐稳定的局面持续巩固发展，治理能力和治理水平走在全区前列，持续创建全国社会治安综合治理优秀市，创建全国市域治理现代化示范市。</w:t>
      </w:r>
    </w:p>
    <w:p>
      <w:pPr>
        <w:pStyle w:val="33"/>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33"/>
        <w:bidi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表1  </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十四五</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期间经济社会发展主要目标</w:t>
      </w:r>
    </w:p>
    <w:tbl>
      <w:tblPr>
        <w:tblStyle w:val="26"/>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4356"/>
        <w:gridCol w:w="976"/>
        <w:gridCol w:w="1513"/>
        <w:gridCol w:w="103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5" w:hRule="atLeast"/>
          <w:tblHeader/>
          <w:jc w:val="center"/>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类别</w:t>
            </w:r>
          </w:p>
        </w:tc>
        <w:tc>
          <w:tcPr>
            <w:tcW w:w="4356"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指    标</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20</w:t>
            </w: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20</w:t>
            </w: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年</w:t>
            </w: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202</w:t>
            </w: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年</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年均增</w:t>
            </w: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速[累计]</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72"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经济</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发展</w:t>
            </w: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1.地区生产总值（亿元）</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621.8</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851.9</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6.5%</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.全员劳动生产率</w:t>
            </w:r>
            <w:r>
              <w:rPr>
                <w:rFonts w:hint="default" w:ascii="Times New Roman" w:hAnsi="Times New Roman" w:cs="Times New Roman"/>
                <w:color w:val="000000" w:themeColor="text1"/>
                <w:highlight w:val="none"/>
                <w:lang w:val="en-US" w:eastAsia="zh-CN"/>
                <w14:textFill>
                  <w14:solidFill>
                    <w14:schemeClr w14:val="tx1"/>
                  </w14:solidFill>
                </w14:textFill>
              </w:rPr>
              <w:t>（万元/人）</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7.56</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9.23</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3.常住人口城镇化率（%）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52</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创新驱动</w:t>
            </w: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4.研发支出与GDP之比（%）</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1.27</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2.2</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12%</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5.每万人口高价值发明专利拥有量（件）</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p>
        </w:tc>
        <w:tc>
          <w:tcPr>
            <w:tcW w:w="254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完成自治区下达目标任务</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2"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6.战略性新兴产业增加值占GDP比重（%）</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4.3</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民生</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福祉</w:t>
            </w: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7.居民人均可支配收入（元）</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20608</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28910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7%以上</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城镇常住居民人均可支配收入（元）</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31159.5</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41700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7%左右</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农村常住居民人均可支配收入（元）</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14698.3</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21600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8%左右</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8.城镇调查失业率（%）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&lt;5.5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9.劳动年龄人口平均受教育年限（年）</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9.87</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13.5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10.每千人口拥有执业（助理）医师数（人）</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2.81</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11.基本养老保险参保率（%）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91</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12.每千人口拥有3岁以下婴幼儿托位数（个）</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0.06</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13.人均预期寿命（岁）</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77</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eastAsia="宋体" w:cs="Times New Roman"/>
                <w:color w:val="000000" w:themeColor="text1"/>
                <w:spacing w:val="-11"/>
                <w:kern w:val="10"/>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优美</w:t>
            </w: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14.非化石能源占能源消费总量比重（%）</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12</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eastAsia="宋体" w:cs="Times New Roman"/>
                <w:color w:val="000000" w:themeColor="text1"/>
                <w:spacing w:val="-11"/>
                <w:kern w:val="10"/>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15.单位GDP能源消耗降低（%）</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254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完成自治区下达目标任务</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16.单位GDP二氧化碳排放降低（%）</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254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完成自治区下达目标任务</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17.单位GDP用水量降低（%）</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[15]</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18.地级及以上城市空气质量优良天数比率（%）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83.9</w:t>
            </w:r>
          </w:p>
        </w:tc>
        <w:tc>
          <w:tcPr>
            <w:tcW w:w="254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完成自治区下达目标任务</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19.地表水国考断面达到或优于Ⅲ类水体比例（%）</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254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完成自治区下达目标任务</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20.森林覆盖率（%）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17.5</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21.湿地保护率（%）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55</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58</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22.水土保持率（%）</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cente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14:textFill>
                  <w14:solidFill>
                    <w14:schemeClr w14:val="tx1"/>
                  </w14:solidFill>
                </w14:textFill>
              </w:rPr>
              <w:t>保障</w:t>
            </w: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23.粮食综合生产能力（万吨）</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99.6</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100以上</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567" w:type="dxa"/>
            <w:vMerge w:val="continue"/>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435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24.能源综合生产能力（万吨标准煤）</w:t>
            </w:r>
          </w:p>
        </w:tc>
        <w:tc>
          <w:tcPr>
            <w:tcW w:w="976"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1640</w:t>
            </w:r>
          </w:p>
        </w:tc>
        <w:tc>
          <w:tcPr>
            <w:tcW w:w="151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2220</w:t>
            </w:r>
          </w:p>
        </w:tc>
        <w:tc>
          <w:tcPr>
            <w:tcW w:w="10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863"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 w:hRule="atLeast"/>
          <w:jc w:val="center"/>
        </w:trPr>
        <w:tc>
          <w:tcPr>
            <w:tcW w:w="9306" w:type="dxa"/>
            <w:gridSpan w:val="6"/>
            <w:vAlign w:val="center"/>
          </w:tcPr>
          <w:p>
            <w:pPr>
              <w:pStyle w:val="32"/>
              <w:keepNext w:val="0"/>
              <w:keepLines w:val="0"/>
              <w:pageBreakBefore w:val="0"/>
              <w:widowControl w:val="0"/>
              <w:kinsoku/>
              <w:wordWrap/>
              <w:overflowPunct/>
              <w:topLinePunct w:val="0"/>
              <w:autoSpaceDE/>
              <w:autoSpaceDN/>
              <w:bidi w:val="0"/>
              <w:adjustRightInd/>
              <w:snapToGrid/>
              <w:spacing w:line="420" w:lineRule="exact"/>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注：① </w:t>
            </w:r>
            <w:r>
              <w:rPr>
                <w:rFonts w:hint="default" w:ascii="Times New Roman" w:hAnsi="Times New Roman" w:eastAsia="宋体" w:cs="Times New Roman"/>
                <w:color w:val="000000" w:themeColor="text1"/>
                <w:highlight w:val="none"/>
                <w:lang w:val="en-US" w:eastAsia="zh-CN"/>
                <w14:textFill>
                  <w14:solidFill>
                    <w14:schemeClr w14:val="tx1"/>
                  </w14:solidFill>
                </w14:textFill>
              </w:rPr>
              <w:t>[  ]</w:t>
            </w:r>
            <w:r>
              <w:rPr>
                <w:rFonts w:hint="default" w:ascii="Times New Roman" w:hAnsi="Times New Roman" w:cs="Times New Roman"/>
                <w:color w:val="000000" w:themeColor="text1"/>
                <w:highlight w:val="none"/>
                <w:lang w:val="en-US" w:eastAsia="zh-CN"/>
                <w14:textFill>
                  <w14:solidFill>
                    <w14:schemeClr w14:val="tx1"/>
                  </w14:solidFill>
                </w14:textFill>
              </w:rPr>
              <w:t>为5年累计数；②能源综合生产能力是指煤炭、石油、天然气、非化石能源生产力之和。</w:t>
            </w:r>
          </w:p>
        </w:tc>
      </w:tr>
    </w:tbl>
    <w:p>
      <w:pPr>
        <w:pStyle w:val="3"/>
        <w:keepNext/>
        <w:keepLines/>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bCs/>
          <w:color w:val="000000"/>
          <w:spacing w:val="0"/>
          <w:kern w:val="2"/>
          <w:sz w:val="32"/>
          <w:szCs w:val="32"/>
          <w:lang w:val="en-US" w:eastAsia="zh-CN" w:bidi="ar-SA"/>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bookmarkStart w:id="66" w:name="_Toc7311"/>
      <w:r>
        <w:rPr>
          <w:rFonts w:hint="default" w:ascii="Times New Roman" w:hAnsi="Times New Roman" w:eastAsia="黑体" w:cs="Times New Roman"/>
          <w:bCs/>
          <w:color w:val="000000"/>
          <w:spacing w:val="0"/>
          <w:kern w:val="2"/>
          <w:sz w:val="32"/>
          <w:szCs w:val="32"/>
          <w:lang w:val="en-US" w:eastAsia="zh-CN" w:bidi="ar-SA"/>
        </w:rPr>
        <w:t>第三章  肩负时代重任  争当建设黄河流域生态保护</w:t>
      </w:r>
    </w:p>
    <w:p>
      <w:pPr>
        <w:pStyle w:val="3"/>
        <w:keepNext/>
        <w:keepLines/>
        <w:pageBreakBefore w:val="0"/>
        <w:widowControl w:val="0"/>
        <w:kinsoku/>
        <w:wordWrap/>
        <w:overflowPunct/>
        <w:topLinePunct w:val="0"/>
        <w:autoSpaceDE/>
        <w:autoSpaceDN/>
        <w:bidi w:val="0"/>
        <w:adjustRightInd/>
        <w:snapToGrid/>
        <w:spacing w:before="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Cs/>
          <w:color w:val="000000"/>
          <w:spacing w:val="0"/>
          <w:kern w:val="2"/>
          <w:sz w:val="32"/>
          <w:szCs w:val="32"/>
          <w:lang w:val="en-US" w:eastAsia="zh-CN" w:bidi="ar-SA"/>
        </w:rPr>
        <w:t>和高质量发展先行区排头兵</w:t>
      </w:r>
      <w:bookmarkEnd w:id="6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着眼黄河流域生态保护修复，共同抓好大保护，协同推进大治理，围绕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五个区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战略定位，率先在生态良好、生产发展、生活富裕等经济社会发展全领域实现新突破。</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67" w:name="_Toc25582"/>
      <w:r>
        <w:rPr>
          <w:rFonts w:hint="default" w:ascii="Times New Roman" w:hAnsi="Times New Roman" w:eastAsia="方正黑体简体" w:cs="Times New Roman"/>
          <w:color w:val="000000"/>
          <w:spacing w:val="0"/>
          <w:sz w:val="32"/>
          <w:szCs w:val="32"/>
          <w:lang w:val="en-US" w:eastAsia="zh-CN"/>
        </w:rPr>
        <w:t>第一节  加快河段堤防安全标准区建设</w:t>
      </w:r>
      <w:bookmarkEnd w:id="6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保障黄河长治久安作为重中之重的任务，以黄河干流为主轴，实施河道堤防、河道控导、滩区治理、城市防洪等重点工程，打造百年防堤，有效提升防洪防凌能力，实现防洪保障线、抢险交通线、生态景观线、生态旅游线有机统一。按照一般河段50年一遇、城市河段100年一遇防洪标准，提标改造青铜峡市、利通区两岸堤防，构筑稳固防线，全市境内水患堤防隐患基本消除。对黄河综合治理工程进行补强加固，强化河势控制、归顺河道主槽、消除险情隐患，确保黄河行洪畅通，河道河槽河床排洪输沙功能基本稳定。对罗家湖、古城等河滩滩涂进行植被恢复，防治滩地沙化。通过退耕还湿、封滩育林、人工辅助自然恢复植被、湿地生态系统保护与恢复等措施，对黄河湿地进行提标改造，增加黄河生态系统功能结构的稳定性，建成黄河干流滩区治理示范区。把城市建设与沿岸湿地、河湖建设结合起来，加快完善城市防洪工程体系，建设现代化防灾体系，确保城市安全。</w:t>
      </w:r>
    </w:p>
    <w:p>
      <w:pPr>
        <w:pStyle w:val="2"/>
        <w:keepNext/>
        <w:keepLines/>
        <w:pageBreakBefore w:val="0"/>
        <w:widowControl w:val="0"/>
        <w:kinsoku/>
        <w:wordWrap/>
        <w:overflowPunct/>
        <w:topLinePunct w:val="0"/>
        <w:autoSpaceDE/>
        <w:autoSpaceDN/>
        <w:bidi w:val="0"/>
        <w:adjustRightInd/>
        <w:snapToGrid/>
        <w:spacing w:before="240"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68" w:name="_Toc1786"/>
      <w:r>
        <w:rPr>
          <w:rFonts w:hint="default" w:ascii="Times New Roman" w:hAnsi="Times New Roman" w:eastAsia="方正黑体简体" w:cs="Times New Roman"/>
          <w:color w:val="000000"/>
          <w:spacing w:val="0"/>
          <w:sz w:val="32"/>
          <w:szCs w:val="32"/>
          <w:lang w:val="en-US" w:eastAsia="zh-CN"/>
        </w:rPr>
        <w:t>第二节  加快生态保护修复示范区建设</w:t>
      </w:r>
      <w:bookmarkEnd w:id="6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自然恢复为主、人工修复为辅，以中南部生态脆弱地区为重点，实施空间规划、水源涵养、水土保持、生态修复等重点工程，编制黄河吴忠段生态保护治理、贺兰山东麓、罗山、哈巴湖、牛首山生态保护等专项规划，统筹推进森林、草原、湿地、流域、农田、城市、沙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七大生态系统</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增强生态系统的安全性、稳定性，确保生态环境质量持续好转。加快探索生态保护和修复新模式，持续落实河湖长制，全面推行林长制，探索建立山长制，推动利用市场化方式推进河道河段治理、国土综合整治。严控总量，消减存量，增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绿</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量，完善禁采、禁伐、禁垦、禁牧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措施，实现保持河道不断流、保持湖泊不干涸、保持水土不流失、保持农田不污染</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四保</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目标，筑牢黄河流域生态安全屏障。</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69" w:name="_Toc23117"/>
      <w:r>
        <w:rPr>
          <w:rFonts w:hint="default" w:ascii="Times New Roman" w:hAnsi="Times New Roman" w:eastAsia="方正黑体简体" w:cs="Times New Roman"/>
          <w:color w:val="000000"/>
          <w:spacing w:val="0"/>
          <w:sz w:val="32"/>
          <w:szCs w:val="32"/>
          <w:lang w:val="en-US" w:eastAsia="zh-CN"/>
        </w:rPr>
        <w:t>第三节  加快环境污染防治率先区建设</w:t>
      </w:r>
      <w:bookmarkEnd w:id="6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打好蓝天、碧水、净土保卫战，建立健全污染防治长效机制，加快推进排污权、碳排放权市场化交易，探索建立污水垃圾处理服务按量按效付费机制，实施环境强制污染保险制度，开展煤炭、火电、化工等行业强制性清洁生产，持续推进农村人居环境整治和农业面源污染治理，建立畜禽粪污、农作物秸秆农业废弃物综合利用和无害化处理体系，实施化肥农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减量增效</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行动。深化垃圾分类管理，发展绿色交通，严格管控道路运输、采矿区和建筑工地扬尘，协同控制温室气体排放，推进碳排放早日达峰。全面推行跨部门联合交叉执法，落实环境保护、节能减排约束性指标管理，力争在黄河流域率先解决环境污染问题。</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70" w:name="_Toc29479"/>
      <w:r>
        <w:rPr>
          <w:rFonts w:hint="default" w:ascii="Times New Roman" w:hAnsi="Times New Roman" w:eastAsia="方正黑体简体" w:cs="Times New Roman"/>
          <w:color w:val="000000"/>
          <w:spacing w:val="0"/>
          <w:sz w:val="32"/>
          <w:szCs w:val="32"/>
          <w:lang w:val="en-US" w:eastAsia="zh-CN"/>
        </w:rPr>
        <w:t>第四节  加快经济转型发展创新区建设</w:t>
      </w:r>
      <w:bookmarkEnd w:id="7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创新在现代化建设全局中的核心地位，大力实施科教兴市战略、人才强市战略，提升科技创新支撑力，培育新产业、新业态、新模式，推动经济发展质量变革、效率变革、动力变革，打造转型发展先行市。加快新旧动能转换，深入实施创新驱动发展战略，围绕产业链布局创新链，加快推进科技创新，突出企业主体地位，鼓励支持企业联合开展技术攻关、共建创新平台、建立创新联盟。加快推进业态创新、模式创新，推动经济发展从要素驱动向创新驱动深刻转变。大力实施结构改造、绿色改造、技术改造、智能改造，推动产业结构、产能结构、产品结构调整。重点抓好产业融合、产城融合、产网融合，大力推进智能装备制造、绿色食品、清洁能源、奶产业、葡萄酒、肉牛和滩羊等十大特色优势产业高质量发展，构建布局合理、集约高效、联动融合的现代化经济体系，实现经济发展量的合理增长和质的稳步提升。</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71" w:name="_Toc22415"/>
      <w:r>
        <w:rPr>
          <w:rFonts w:hint="default" w:ascii="Times New Roman" w:hAnsi="Times New Roman" w:eastAsia="方正黑体简体" w:cs="Times New Roman"/>
          <w:color w:val="000000"/>
          <w:spacing w:val="0"/>
          <w:sz w:val="32"/>
          <w:szCs w:val="32"/>
          <w:lang w:val="en-US" w:eastAsia="zh-CN"/>
        </w:rPr>
        <w:t>第五节  加快黄河文化传承彰显区建设</w:t>
      </w:r>
      <w:bookmarkEnd w:id="7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72" w:name="_Toc14845"/>
      <w:bookmarkStart w:id="73" w:name="_Toc32285"/>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把黄河文化遗产作为重要资源，保护传承弘扬</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黄河文化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，讲好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黄河故事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使吴忠成为彰显黄河文化、展示黄河文明的重要窗口。实施黄河文化传承创新工程，加强对黄河文化吴忠段历史文化遗产的研究和利用，统筹推进长城、长征国家文化公园和引黄古灌区世界灌溉工程遗址公园建设，打造以黄河大峡谷、黄河楼等景区为核心的黄河文化公园，以红军西征纪念园、盐池革命烈士纪念园等红色文化景区为核心的长征文化公园，以盐池头道边、青铜峡北岔口、同心韦州下马关长城遗址为核心的长城文化公园。实施黄河文化遗产保护系统工程，开展黄河流域文化资源普查，建立黄河文化遗产资源库。用社会主义核心价值观阐释黄河文化精神内涵，传承黄河文化基因，延续中华历史文脉。</w:t>
      </w:r>
    </w:p>
    <w:bookmarkEnd w:id="72"/>
    <w:bookmarkEnd w:id="73"/>
    <w:p>
      <w:pPr>
        <w:pStyle w:val="3"/>
        <w:bidi w:val="0"/>
        <w:rPr>
          <w:rFonts w:hint="default" w:ascii="Times New Roman" w:hAnsi="Times New Roman" w:cs="Times New Roman"/>
          <w:color w:val="000000" w:themeColor="text1"/>
          <w:highlight w:val="none"/>
          <w:lang w:val="en-US" w:eastAsia="zh-CN"/>
          <w14:textFill>
            <w14:solidFill>
              <w14:schemeClr w14:val="tx1"/>
            </w14:solidFill>
          </w14:textFill>
        </w:rPr>
      </w:pPr>
      <w:bookmarkStart w:id="74" w:name="_Toc17637"/>
      <w:bookmarkStart w:id="75" w:name="_Toc13927"/>
      <w:bookmarkStart w:id="76" w:name="_Toc6521"/>
      <w:bookmarkStart w:id="77" w:name="_Toc18228"/>
      <w:r>
        <w:rPr>
          <w:rFonts w:hint="default" w:ascii="Times New Roman" w:hAnsi="Times New Roman" w:cs="Times New Roman"/>
          <w:color w:val="000000" w:themeColor="text1"/>
          <w:highlight w:val="none"/>
          <w14:textFill>
            <w14:solidFill>
              <w14:schemeClr w14:val="tx1"/>
            </w14:solidFill>
          </w14:textFill>
        </w:rPr>
        <w:br w:type="page"/>
      </w:r>
      <w:bookmarkStart w:id="78" w:name="_Toc10018"/>
      <w:r>
        <w:rPr>
          <w:rFonts w:hint="default" w:ascii="Times New Roman" w:hAnsi="Times New Roman" w:eastAsia="黑体" w:cs="Times New Roman"/>
          <w:bCs/>
          <w:color w:val="000000"/>
          <w:spacing w:val="0"/>
          <w:kern w:val="2"/>
          <w:sz w:val="32"/>
          <w:szCs w:val="32"/>
          <w:lang w:val="en-US" w:eastAsia="zh-CN" w:bidi="ar-SA"/>
        </w:rPr>
        <w:t>第四章  创新驱动转型升级  加快构建现代产业新体系</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坚持把发展经济的着力点放在实体经济上，强化创新驱动战略引领作用，构建以全市十大产业为重点，数字经济智慧产业融合提升的现代产业新体系，主动融入新发展格局，推进制造强市、质量强市。</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_GBK" w:cs="Times New Roman"/>
          <w:color w:val="000000" w:themeColor="text1"/>
          <w:highlight w:val="none"/>
          <w:lang w:val="en-US" w:eastAsia="zh-CN"/>
          <w14:textFill>
            <w14:solidFill>
              <w14:schemeClr w14:val="tx1"/>
            </w14:solidFill>
          </w14:textFill>
        </w:rPr>
      </w:pPr>
      <w:r>
        <w:rPr>
          <w:rFonts w:hint="default" w:ascii="Times New Roman" w:hAnsi="Times New Roman" w:eastAsia="方正黑体简体" w:cs="Times New Roman"/>
          <w:color w:val="000000"/>
          <w:spacing w:val="0"/>
          <w:sz w:val="32"/>
          <w:szCs w:val="32"/>
          <w:lang w:val="en-US" w:eastAsia="zh-CN"/>
        </w:rPr>
        <w:t xml:space="preserve">第一节  </w:t>
      </w:r>
      <w:bookmarkStart w:id="79" w:name="_Toc25846"/>
      <w:r>
        <w:rPr>
          <w:rFonts w:hint="default" w:ascii="Times New Roman" w:hAnsi="Times New Roman" w:eastAsia="方正黑体简体" w:cs="Times New Roman"/>
          <w:color w:val="000000"/>
          <w:spacing w:val="0"/>
          <w:sz w:val="32"/>
          <w:szCs w:val="32"/>
          <w:lang w:val="en-US" w:eastAsia="zh-CN"/>
        </w:rPr>
        <w:t>强化创新驱动战略引领作用</w:t>
      </w:r>
      <w:bookmarkEnd w:id="79"/>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坚持创新核心地位，实施人才强市战略，推进全方位开放式创新，构建充满活力的创新生态体系，全面提升创新能力，增强高质量发展内生动力。</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4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80" w:name="_Toc32006"/>
      <w:bookmarkStart w:id="81" w:name="_Toc14939"/>
      <w:bookmarkStart w:id="82" w:name="_Toc8820"/>
      <w:bookmarkStart w:id="83" w:name="_Toc15486"/>
      <w:bookmarkStart w:id="84" w:name="_Toc10841"/>
      <w:bookmarkStart w:id="85" w:name="_Toc27347"/>
      <w:r>
        <w:rPr>
          <w:rFonts w:hint="default" w:ascii="Times New Roman" w:hAnsi="Times New Roman" w:cs="Times New Roman"/>
          <w:b w:val="0"/>
          <w:color w:val="000000" w:themeColor="text1"/>
          <w:highlight w:val="none"/>
          <w:lang w:val="en-US" w:eastAsia="zh-CN"/>
          <w14:textFill>
            <w14:solidFill>
              <w14:schemeClr w14:val="tx1"/>
            </w14:solidFill>
          </w14:textFill>
        </w:rPr>
        <w:t>一、全面提升自主创新能力</w:t>
      </w:r>
      <w:bookmarkEnd w:id="80"/>
      <w:bookmarkEnd w:id="81"/>
      <w:bookmarkEnd w:id="82"/>
    </w:p>
    <w:bookmarkEnd w:id="83"/>
    <w:bookmarkEnd w:id="84"/>
    <w:bookmarkEnd w:id="85"/>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推进创新平台建设。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园区创新发展能力提升行动，宁夏吴忠金积工业园区升级为国家高新技术产业开发区，青铜峡工业园区创成自治区高新技术产业开发区。整合优化科技创新平台资源，在利通区、青铜峡市围绕装备制造、精细化工、食品加工，盐池县、同心县、红寺堡区围绕新材料、现代纺织、中药材等特色产业布局创新平台。发挥中国（宁夏）奶业研究院作用，加强技术中心建设，助推奶产业提质升级。到2025年，推动规模以上高新技术企业创新平台全覆盖，各级各类科技创新平台达到50家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积极培育科技型企业。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强化企业创新主体地位，鼓励企业加大研发投入，促进各类创新要素向企业集聚。聚焦国家重点支持的高新技术领域和高新技术企业认定标准，围绕研发组织管理、知识产权创造等方面补短板、强弱项。根据</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引导入库一批、精准培育一批、申报认定一批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培育机制，每年选择10家以上创新型示范企业、自治区科技型中小企业、科技小巨人企业、农业高新技术企业纳入国家、自治区高新技术企业培育库。到2025年，全市拥有国家级高新技术企业70家，科技型中小企业250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广泛开展科技合作。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聚焦关键环节、核心技术，形成科技合作专项支持制度，鼓励吴忠仪表、伊利乳业等龙头企业承担国家重大科技项目，打造重点领域领军型创新企业。充分利用东西部科技合作长效机制，吸引大院大所来吴设立分院分所，支持企业与外地高新技术企业开展联合研发。积极参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一带一路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科技创新行动计划，开展能源化工、葡萄酒、防沙治沙、医疗卫生等领域国际技术交流合作。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加快科技成果转移转化应用。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加强技术市场体系和知识产权服务体系建设，推进吴忠技术市场与全国技术交易网络的全面接通，提升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一站式</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技术交易平台服务能力。落实好自治区科技成果转移转化优惠政策，鼓励企业引进和应用先进成熟技术及关键设备，促进与全国先进企业的产业上下游企业合作。加强知识产权运用保护，形成优势互补、成果共享、风险共担的开放合作机制。</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86" w:name="_Toc1435"/>
      <w:bookmarkStart w:id="87" w:name="_Toc31393"/>
      <w:bookmarkStart w:id="88" w:name="_Toc32013"/>
      <w:r>
        <w:rPr>
          <w:rFonts w:hint="default" w:ascii="Times New Roman" w:hAnsi="Times New Roman" w:cs="Times New Roman"/>
          <w:b w:val="0"/>
          <w:color w:val="000000" w:themeColor="text1"/>
          <w:highlight w:val="none"/>
          <w:lang w:val="en-US" w:eastAsia="zh-CN"/>
          <w14:textFill>
            <w14:solidFill>
              <w14:schemeClr w14:val="tx1"/>
            </w14:solidFill>
          </w14:textFill>
        </w:rPr>
        <w:t>二、打造创新人才集聚高地</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聚焦创新驱动柔性引才。</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不求所有、但求所用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，通过顾问指导、挂职兼职、候鸟服务等人才柔性引进方式，引进重点行业、重点领域急需紧缺人才或团队，实施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人才+产业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计划，实现人才与产业对接、智力与项目对接。鼓励各企事业单位建立院士（博士）工作站、人才小高地、专家服务基地等平台，集聚各类人才开展技术攻关，打通产学研合作通道。拓宽吴忠籍在外人才回流渠道，支持高校毕业生到吴就业，鼓励返乡人才创新创业等政策措施，吸引更多优秀本土人才感情回家、人才回乡、资金回流，助力家乡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加大本土人才培养力度。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突出企业经营管理、专业技术、高技能、农村实用、社会工作等五大人才领域，选拔一批业绩突出、成果显著、示范带动作用明显的本土人才进行重点培养，到2025年，培育在自治区、吴忠市、县（市区）、乡镇有影响力的人才50名、200名、1000名、5000名，以及活跃在基层一线的新秀和后备人才10000名以上。推动职业技术学校面向重点产业急需行业调整优化专业设置，加强应用型、技能型人才培养，建设高素质产业工人队伍和服务管理人才队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sz w:val="30"/>
          <w:szCs w:val="30"/>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提高人才服务管理水平。</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党管人才原则，建立健全人才引进、培养、评价、激励等制度，着力构建政府引导服务、市场有效配置、企事业单位自主用人、人才自主择业的人才服务管理机制，推动形成具有吸引力和竞争力的人才政策体系。完善人才补贴补助、住房保障、子女入学、医疗保健、休假疗养、职称评定等跟踪服务保障措施，为各类人才提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一站式</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服务。深化国有企业负责人、工业园区薪酬制度改革和事业单位工资制度改革，激发创新创业活力。</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89" w:name="_Toc16587"/>
      <w:bookmarkStart w:id="90" w:name="_Toc22410"/>
      <w:bookmarkStart w:id="91" w:name="_Toc24387"/>
      <w:bookmarkStart w:id="92" w:name="_Toc16666"/>
      <w:bookmarkStart w:id="93" w:name="_Toc32166"/>
      <w:bookmarkStart w:id="94" w:name="_Toc18863"/>
      <w:r>
        <w:rPr>
          <w:rFonts w:hint="default" w:ascii="Times New Roman" w:hAnsi="Times New Roman" w:cs="Times New Roman"/>
          <w:b w:val="0"/>
          <w:color w:val="000000" w:themeColor="text1"/>
          <w:highlight w:val="none"/>
          <w:lang w:val="en-US" w:eastAsia="zh-CN"/>
          <w14:textFill>
            <w14:solidFill>
              <w14:schemeClr w14:val="tx1"/>
            </w14:solidFill>
          </w14:textFill>
        </w:rPr>
        <w:t>三、着力</w:t>
      </w:r>
      <w:bookmarkEnd w:id="89"/>
      <w:bookmarkEnd w:id="90"/>
      <w:bookmarkEnd w:id="91"/>
      <w:r>
        <w:rPr>
          <w:rFonts w:hint="default" w:ascii="Times New Roman" w:hAnsi="Times New Roman" w:cs="Times New Roman"/>
          <w:b w:val="0"/>
          <w:color w:val="000000" w:themeColor="text1"/>
          <w:highlight w:val="none"/>
          <w:lang w:val="en-US" w:eastAsia="zh-CN"/>
          <w14:textFill>
            <w14:solidFill>
              <w14:schemeClr w14:val="tx1"/>
            </w14:solidFill>
          </w14:textFill>
        </w:rPr>
        <w:t>构建创新生态体系</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完善创新链条。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围绕产业链部署创新链，实施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关键核心技术—产品—企业—产业链—产业集群</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关键核心技术—材料—零部件—整机—系统集成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的全链条培育路径，促进产业链上下游创新活动高效整合，形成创新共同体。建立基于知识分享的网络化创新组织，促进大数据、人工智能、区块链等新兴技术在信息产生和交换上的应用，提升创新效率。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鼓励金融创新。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科技与金融深度融合，健全创新投融资支持与服务体系，积极争取自治区创投基金扶持，扩大吴忠创投基金引导作用，撬动金融资本和社会资本向创新和实体经济流动，引导天使投资和创业投资支持创业企业，构建多元金融模式支持创新发展新格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优化创新环境。</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完善市域科技治理体系，优化科技运行机制，推动重点科技项目、基地、人才、资金一体化配置。开展科研经费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包干制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改革试点，建立完善以需求为导向的科技项目形成机制和财政科技投入稳定增长机制。改进科技项目组织管理方式，实行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揭榜挂帅</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等制度。加快</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与科技创新服务融合发展，大力培育引进科技中介服务机构、科技创新服务联盟、技术经纪人队伍，为企业提供全方位服务。完善科技评价机制，优化科技奖励项目。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加强科普工作。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把科学普及放在与科技创新同等重要的位置，建设完善科技馆、</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科普+旅游</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示范基地等科普阵地，开展形式多样的科普活动，提升群众科学素养。加强科技人才表彰、举荐</w:t>
      </w:r>
      <w:r>
        <w:rPr>
          <w:rFonts w:hint="default" w:ascii="Times New Roman" w:hAnsi="Times New Roman" w:eastAsia="方正仿宋_GBK" w:cs="Times New Roman"/>
          <w:color w:val="000000" w:themeColor="text1"/>
          <w:spacing w:val="-6"/>
          <w:sz w:val="32"/>
          <w:highlight w:val="none"/>
          <w:lang w:val="en-US" w:eastAsia="zh-CN"/>
          <w14:textFill>
            <w14:solidFill>
              <w14:schemeClr w14:val="tx1"/>
            </w14:solidFill>
          </w14:textFill>
        </w:rPr>
        <w:t>和宣传，弘扬科学精神，传播科学思想，营造崇尚创新的社会氛围。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专栏</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创新引领</w:t>
            </w:r>
            <w:r>
              <w:rPr>
                <w:rFonts w:hint="default" w:ascii="Times New Roman" w:hAnsi="Times New Roman" w:cs="Times New Roman"/>
                <w:color w:val="000000" w:themeColor="text1"/>
                <w:highlight w:val="none"/>
                <w14:textFill>
                  <w14:solidFill>
                    <w14:schemeClr w14:val="tx1"/>
                  </w14:solidFill>
                </w14:textFill>
              </w:rPr>
              <w:t>重点</w:t>
            </w:r>
            <w:r>
              <w:rPr>
                <w:rFonts w:hint="default" w:ascii="Times New Roman" w:hAnsi="Times New Roman" w:cs="Times New Roman"/>
                <w:color w:val="000000" w:themeColor="text1"/>
                <w:highlight w:val="none"/>
                <w:lang w:eastAsia="zh-CN"/>
                <w14:textFill>
                  <w14:solidFill>
                    <w14:schemeClr w14:val="tx1"/>
                  </w14:solidFill>
                </w14:textFill>
              </w:rPr>
              <w:t>工程</w:t>
            </w:r>
            <w:r>
              <w:rPr>
                <w:rFonts w:hint="default" w:ascii="Times New Roman" w:hAnsi="Times New Roman" w:cs="Times New Roman"/>
                <w:color w:val="000000" w:themeColor="text1"/>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1.科技创新平台建设</w:t>
            </w:r>
            <w:r>
              <w:rPr>
                <w:rFonts w:hint="default" w:ascii="Times New Roman" w:hAnsi="Times New Roman" w:cs="Times New Roman"/>
                <w:b/>
                <w:bCs/>
                <w:color w:val="000000" w:themeColor="text1"/>
                <w:sz w:val="26"/>
                <w:szCs w:val="26"/>
                <w:highlight w:val="none"/>
                <w14:textFill>
                  <w14:solidFill>
                    <w14:schemeClr w14:val="tx1"/>
                  </w14:solidFill>
                </w14:textFill>
              </w:rPr>
              <w:t>项目</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eastAsia="zh-CN"/>
                <w14:textFill>
                  <w14:solidFill>
                    <w14:schemeClr w14:val="tx1"/>
                  </w14:solidFill>
                </w14:textFill>
              </w:rPr>
              <w:t>争取建设1-2家高端控制阀领域、新材料领域国家、自治区重点实验室，建设5-8个突破型、引领型、平台型的支撑特色产业发展</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的</w:t>
            </w:r>
            <w:r>
              <w:rPr>
                <w:rFonts w:hint="default" w:ascii="Times New Roman" w:hAnsi="Times New Roman" w:cs="Times New Roman"/>
                <w:color w:val="000000" w:themeColor="text1"/>
                <w:sz w:val="26"/>
                <w:szCs w:val="26"/>
                <w:highlight w:val="none"/>
                <w:lang w:eastAsia="zh-CN"/>
                <w14:textFill>
                  <w14:solidFill>
                    <w14:schemeClr w14:val="tx1"/>
                  </w14:solidFill>
                </w14:textFill>
              </w:rPr>
              <w:t>自治区工程技术研究中心或成果转化基地，重点建设吴忠市科技服务中心、金积工业园区科技创新公共服务平台、吴忠市技术转移服务中心等科技创新服务平台；太阳山开发区医药研发中心和中试基地。</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14:textFill>
                  <w14:solidFill>
                    <w14:schemeClr w14:val="tx1"/>
                  </w14:solidFill>
                </w14:textFill>
              </w:rPr>
              <w:t>2.重点科技研发计划项目：</w:t>
            </w:r>
            <w:r>
              <w:rPr>
                <w:rFonts w:hint="default" w:ascii="Times New Roman" w:hAnsi="Times New Roman" w:cs="Times New Roman"/>
                <w:color w:val="000000" w:themeColor="text1"/>
                <w:sz w:val="26"/>
                <w:szCs w:val="26"/>
                <w:highlight w:val="none"/>
                <w14:textFill>
                  <w14:solidFill>
                    <w14:schemeClr w14:val="tx1"/>
                  </w14:solidFill>
                </w14:textFill>
              </w:rPr>
              <w:t>严苛工况高端控制阀关键技术研究项目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特色食品共性关键技术研究项目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微谱分析和生物强化协同技术在精细化工废水处理中的研究项目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BOG高纯氦气提取工艺及设备的研发项目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优质高产奶牛繁殖健康关键技术研究与示范项目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规模化奶牛养殖牧场污水生态消纳与资源化关键技术集成示范项目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；太阳镁业盾镁电热法项目</w:t>
            </w:r>
            <w:r>
              <w:rPr>
                <w:rFonts w:hint="default" w:ascii="Times New Roman" w:hAnsi="Times New Roman" w:cs="Times New Roman"/>
                <w:color w:val="000000" w:themeColor="text1"/>
                <w:sz w:val="26"/>
                <w:szCs w:val="26"/>
                <w:highlight w:val="none"/>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000000" w:themeColor="text1"/>
                <w:kern w:val="2"/>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6"/>
                <w:szCs w:val="26"/>
                <w:highlight w:val="none"/>
                <w14:textFill>
                  <w14:solidFill>
                    <w14:schemeClr w14:val="tx1"/>
                  </w14:solidFill>
                </w14:textFill>
              </w:rPr>
              <w:t>人才引进培育</w:t>
            </w: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项目</w:t>
            </w:r>
            <w:r>
              <w:rPr>
                <w:rFonts w:hint="default" w:ascii="Times New Roman" w:hAnsi="Times New Roman" w:cs="Times New Roman"/>
                <w:b/>
                <w:bCs/>
                <w:color w:val="000000" w:themeColor="text1"/>
                <w:sz w:val="26"/>
                <w:szCs w:val="26"/>
                <w:highlight w:val="none"/>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高新区3D打印创新中心项目；人才合作培养联盟项目；科技兴粮人才队伍建设；科技人才队伍建设；红寺堡区水利业务能力建设项目。</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95" w:name="_Toc15809"/>
      <w:r>
        <w:rPr>
          <w:rFonts w:hint="default" w:ascii="Times New Roman" w:hAnsi="Times New Roman" w:eastAsia="方正黑体简体" w:cs="Times New Roman"/>
          <w:color w:val="000000"/>
          <w:spacing w:val="0"/>
          <w:sz w:val="32"/>
          <w:szCs w:val="32"/>
          <w:lang w:val="en-US" w:eastAsia="zh-CN"/>
        </w:rPr>
        <w:t>第二节  培育壮大先进制造业</w:t>
      </w:r>
      <w:bookmarkEnd w:id="95"/>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加快实施结构改造、绿色改造、技术改造、智能改造，推动产业体系升级和基础能力再造，到2025年，</w:t>
      </w:r>
      <w:r>
        <w:rPr>
          <w:rFonts w:hint="default" w:ascii="Times New Roman" w:hAnsi="Times New Roman" w:eastAsia="方正仿宋_GBK" w:cs="Times New Roman"/>
          <w:color w:val="000000" w:themeColor="text1"/>
          <w:highlight w:val="none"/>
          <w14:textFill>
            <w14:solidFill>
              <w14:schemeClr w14:val="tx1"/>
            </w14:solidFill>
          </w14:textFill>
        </w:rPr>
        <w:t>工业总产值达到1</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250</w:t>
      </w:r>
      <w:r>
        <w:rPr>
          <w:rFonts w:hint="default" w:ascii="Times New Roman" w:hAnsi="Times New Roman" w:eastAsia="方正仿宋_GBK" w:cs="Times New Roman"/>
          <w:color w:val="000000" w:themeColor="text1"/>
          <w:highlight w:val="none"/>
          <w14:textFill>
            <w14:solidFill>
              <w14:schemeClr w14:val="tx1"/>
            </w14:solidFill>
          </w14:textFill>
        </w:rPr>
        <w:t>亿元，规模以上工业增加值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突破</w:t>
      </w:r>
      <w:r>
        <w:rPr>
          <w:rFonts w:hint="default" w:ascii="Times New Roman" w:hAnsi="Times New Roman" w:eastAsia="方正仿宋_GBK" w:cs="Times New Roman"/>
          <w:color w:val="000000" w:themeColor="text1"/>
          <w:highlight w:val="none"/>
          <w14:textFill>
            <w14:solidFill>
              <w14:schemeClr w14:val="tx1"/>
            </w14:solidFill>
          </w14:textFill>
        </w:rPr>
        <w:t>3</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highlight w:val="none"/>
          <w14:textFill>
            <w14:solidFill>
              <w14:schemeClr w14:val="tx1"/>
            </w14:solidFill>
          </w14:textFill>
        </w:rPr>
        <w:t>亿元，年均增长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以上</w:t>
      </w:r>
      <w:r>
        <w:rPr>
          <w:rFonts w:hint="default" w:ascii="Times New Roman" w:hAnsi="Times New Roman" w:eastAsia="方正仿宋_GBK" w:cs="Times New Roman"/>
          <w:color w:val="000000" w:themeColor="text1"/>
          <w:highlight w:val="none"/>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96" w:name="_Toc28108"/>
      <w:r>
        <w:rPr>
          <w:rFonts w:hint="default" w:ascii="Times New Roman" w:hAnsi="Times New Roman" w:cs="Times New Roman"/>
          <w:b w:val="0"/>
          <w:color w:val="000000" w:themeColor="text1"/>
          <w:highlight w:val="none"/>
          <w:lang w:val="en-US" w:eastAsia="zh-CN"/>
          <w14:textFill>
            <w14:solidFill>
              <w14:schemeClr w14:val="tx1"/>
            </w14:solidFill>
          </w14:textFill>
        </w:rPr>
        <w:t>一、重点推进</w:t>
      </w:r>
      <w:r>
        <w:rPr>
          <w:rFonts w:hint="eastAsia" w:ascii="Times New Roman" w:hAnsi="Times New Roman" w:cs="Times New Roman"/>
          <w:b w:val="0"/>
          <w:color w:val="000000" w:themeColor="text1"/>
          <w:highlight w:val="none"/>
          <w:lang w:val="en-US" w:eastAsia="zh-CN"/>
          <w14:textFill>
            <w14:solidFill>
              <w14:schemeClr w14:val="tx1"/>
            </w14:solidFill>
          </w14:textFill>
        </w:rPr>
        <w:t>“</w:t>
      </w:r>
      <w:r>
        <w:rPr>
          <w:rFonts w:hint="default" w:ascii="Times New Roman" w:hAnsi="Times New Roman" w:cs="Times New Roman"/>
          <w:b w:val="0"/>
          <w:color w:val="000000" w:themeColor="text1"/>
          <w:highlight w:val="none"/>
          <w:lang w:val="en-US" w:eastAsia="zh-CN"/>
          <w14:textFill>
            <w14:solidFill>
              <w14:schemeClr w14:val="tx1"/>
            </w14:solidFill>
          </w14:textFill>
        </w:rPr>
        <w:t>四大改造</w:t>
      </w:r>
      <w:bookmarkEnd w:id="96"/>
      <w:r>
        <w:rPr>
          <w:rFonts w:hint="eastAsia" w:ascii="Times New Roman" w:hAnsi="Times New Roman" w:cs="Times New Roman"/>
          <w:b w:val="0"/>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实施结构改造。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围绕高端化智能化绿色化发展方向，优化产业结构，加快出清落后产能、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僵尸企业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，为先进、优质产能腾出空间，大力推进装备制造、绿色食品、现代纺织三大主导产业攻坚突破、转型升级，推动新一代信息技术产业、新能源、新材料和节能环保等新兴产业扩容倍增、加速崛起。</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实施绿色改造。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严把项目核准，严控高耗能、高污染、低产出行业发展。强化行业间横向耦合、生态链接、原料互供、资源共享，打造一批循环经济产业园和循环经济示范企业。支持企业开发绿色产品，建设绿色工厂、绿色园区，打造绿色供应链，全面推进绿色制造体系建设。大力发展环保产业，建设固废危废协同处置环保示范园、开发利用盐碱地科技生物示范园。到2025年，培育绿色园区3个、绿色工厂12家。</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实施技术改造。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对标行业先进标准，运用新技术、新工艺、新设备，完善支持企业技术改造的长效机制，围绕重点行业开展技术揭榜攻关，支持领军企业联合行业上下游、产学研力量，对产业链中的关键领域、薄弱环节和共性问题等进行整体技术改造，工业绿色化、智能化改造投资年均增长5%以上。</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实施智能改造。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制定吴忠市工业企业智能改造实施方案，以提高装备智能化率、成果转化率、劳动生产率等为主攻方向，加快旧生产设备计量技术改造，建设智能工厂。推动运用数字化、网络化技术升级改造优势传统产业，实现生产装备数字化，为产业发展赋智赋能，到2025年，实现规模以上工业企业智能改造诊断服务全覆盖。</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97" w:name="_Toc26903"/>
      <w:bookmarkStart w:id="98" w:name="_Toc17784"/>
      <w:r>
        <w:rPr>
          <w:rFonts w:hint="default" w:ascii="Times New Roman" w:hAnsi="Times New Roman" w:cs="Times New Roman"/>
          <w:b w:val="0"/>
          <w:color w:val="000000" w:themeColor="text1"/>
          <w:highlight w:val="none"/>
          <w:lang w:val="en-US" w:eastAsia="zh-CN"/>
          <w14:textFill>
            <w14:solidFill>
              <w14:schemeClr w14:val="tx1"/>
            </w14:solidFill>
          </w14:textFill>
        </w:rPr>
        <w:t>二、做大做强三大主导产业</w:t>
      </w:r>
      <w:bookmarkEnd w:id="97"/>
      <w:bookmarkEnd w:id="98"/>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装备制造产业。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推动现有装备产品向智能化、成套化和系统化转型升级，到2025年，装备制造业实现产值100亿元。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智能高端控制阀。</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高端控制阀市场需求，重点发展石油化工、煤化工、火电及船舶等流程工业高端控制阀，加快智能控制阀、智能传感器等产品的推广应用与持续研发，提高产品寿命和控制精度，提升进口产品替代力度。发挥吴忠仪表高端控制阀等智能制造试点项目示范作用，落实重点企业制造过程智能化进度计划。</w:t>
      </w:r>
    </w:p>
    <w:p>
      <w:pPr>
        <w:pStyle w:val="3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精密铸锻。</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依托朗盛精密等企业，重点发展高端装备承压合金材料、深海用阀铸件及高铁轮毂、风力发电机铸锻件等关键部件。加快推进精密铸锻产业园建设，进一步完善智能控制阀上游产业链配套项目。</w:t>
      </w:r>
    </w:p>
    <w:p>
      <w:pPr>
        <w:keepNext w:val="0"/>
        <w:keepLines w:val="0"/>
        <w:pageBreakBefore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专用精密轴承。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托青铜峡汽车零部件及智能制造产业，重点发展汽车轴承及轴承单元，家用电器低噪声电机轴承等，鼓励发展风力发电机组轴承，数控机床轴承及各种主机专用轴承等。提高设备运行效能和产品创新能力，实现产品模块化设计、零部件智能化生产、装备及检测智能化，努力打造具有一定影响力的现代化轴承生产基地。</w:t>
      </w:r>
    </w:p>
    <w:p>
      <w:pPr>
        <w:keepNext w:val="0"/>
        <w:keepLines w:val="0"/>
        <w:pageBreakBefore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智能农机装备。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成立技术研发中心和现代化农业装备技术研发服务平台，重点加快田间作业机械、葡萄藤条压埋机械等智能化农业主机的研制和生产，培育引进一批农业机器人、植保无人机等整机制造企业以及相关配套项目，打造集设计研发制造服务于一体的智能化农机装备制造产业链。</w:t>
      </w:r>
    </w:p>
    <w:p>
      <w:pPr>
        <w:keepNext w:val="0"/>
        <w:keepLines w:val="0"/>
        <w:pageBreakBefore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智能焊接装备。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自动化焊接设备的模块化设计和生产管理，推动焊接自动化专机向标准化、模块化发展。鼓励支持黄河电焊机、好运电焊机等智能焊接设备重点企业联合科研院所加大研发生产能力。继续扩大生产能力，对民用级设备进行智能化管控，不断提高民用设备附加值。</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绿色食品产业。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聚焦高端乳制品、名优葡萄酒、高端营养品三大领域，深挖资源优势，延长产业链条，打造三产融合、品牌</w:t>
      </w:r>
      <w:r>
        <w:rPr>
          <w:rFonts w:hint="default" w:ascii="Times New Roman" w:hAnsi="Times New Roman" w:eastAsia="方正仿宋_GBK" w:cs="Times New Roman"/>
          <w:color w:val="000000" w:themeColor="text1"/>
          <w:spacing w:val="-6"/>
          <w:sz w:val="32"/>
          <w:highlight w:val="none"/>
          <w:lang w:val="en-US" w:eastAsia="zh-CN"/>
          <w14:textFill>
            <w14:solidFill>
              <w14:schemeClr w14:val="tx1"/>
            </w14:solidFill>
          </w14:textFill>
        </w:rPr>
        <w:t>效益双优的地方主导产业。到2025年，绿色食品产业达到200亿元。</w:t>
      </w:r>
    </w:p>
    <w:p>
      <w:pPr>
        <w:keepNext w:val="0"/>
        <w:keepLines w:val="0"/>
        <w:pageBreakBefore w:val="0"/>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高端乳制品。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支持伊利、新希望（夏进）、雪泉等乳制品加工企业提质扩量，深入挖掘乳制品科技价值和加工优势，鼓励开展乳制品创新研发，优化加工工艺和产品结构，发展低温乳、发酵乳、婴幼儿（老年）配方粉及奶酪等高附加值产品，开发乳蛋白、益生元、乳糖、乳清等功能性乳品基料。</w:t>
      </w:r>
      <w:r>
        <w:rPr>
          <w:rFonts w:hint="default" w:ascii="Times New Roman" w:hAnsi="Times New Roman" w:eastAsia="方正仿宋_GBK" w:cs="Times New Roman"/>
          <w:color w:val="000000" w:themeColor="text1"/>
          <w:highlight w:val="none"/>
          <w14:textFill>
            <w14:solidFill>
              <w14:schemeClr w14:val="tx1"/>
            </w14:solidFill>
          </w14:textFill>
        </w:rPr>
        <w:t>完善冷链储运硬件设施设备，严管冷链流程，确保终端乳制品的安全与品质。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60" w:firstLineChars="0"/>
        <w:jc w:val="lef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名优葡萄酒。</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充分发挥产区优势，支持葡萄酒骨干企业扩大规模、升级技术工艺、丰富产品品类。实施酒庄对标行动，引导酒庄规范技术标准、管理标准、工作标准，支持开展绿色、有机认证和追溯体系建设。引进机械装备、酵母、酒瓶等加工企业，延长产业链条。开展葡萄籽油、皮渣精深加工，创新开发医药、保健、环保等领域功能性产品，提升产业附加值。</w:t>
      </w:r>
    </w:p>
    <w:p>
      <w:pPr>
        <w:keepNext w:val="0"/>
        <w:keepLines w:val="0"/>
        <w:pageBreakBefore w:val="0"/>
        <w:tabs>
          <w:tab w:val="left" w:pos="5940"/>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高端营养品。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重点发展富硒大米、枸杞、黄花菜等特色富硒农产品，全面提升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中国塞上硒都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影响力。加快推进枸杞氨基酸靶向营养食品、鹿胎素、亚麻籽膳食纤维素、螺旋藻等高端健康产品生产。积极培育食品配料、颗粒果蔬等食品要素产业。依托吴忠牛羊肉加工业发展生产咸味香料、增鲜剂、火锅底料等，做优调味品产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现代纺织产业。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集中资源打造现代纺织产业集群，加快开发新型纺纱、织造等技术，研究和发展棉混纺针织面料以及其他纤维的混纺针织面料，不断拓展合成纤维及纺织面料的应用范围和市场占有率；着力提升羊绒制品研发能力，促进羊绒纺织向价值链高端延伸，积极培育羊绒纺织、棉纺、麻纺、化纤、服装等生态纺织产业集群，打造精品纺织产业体系。到2025年，现代纺织产业突破100亿元。</w:t>
      </w:r>
    </w:p>
    <w:p>
      <w:pPr>
        <w:pStyle w:val="4"/>
        <w:keepNext/>
        <w:keepLines/>
        <w:pageBreakBefore w:val="0"/>
        <w:widowControl w:val="0"/>
        <w:kinsoku/>
        <w:wordWrap/>
        <w:overflowPunct/>
        <w:topLinePunct w:val="0"/>
        <w:autoSpaceDE/>
        <w:autoSpaceDN/>
        <w:bidi w:val="0"/>
        <w:adjustRightInd/>
        <w:snapToGrid/>
        <w:spacing w:before="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99" w:name="_Toc25727"/>
      <w:bookmarkStart w:id="100" w:name="_Toc7324"/>
      <w:bookmarkStart w:id="101" w:name="_Toc31259"/>
      <w:r>
        <w:rPr>
          <w:rFonts w:hint="default" w:ascii="Times New Roman" w:hAnsi="Times New Roman" w:cs="Times New Roman"/>
          <w:b w:val="0"/>
          <w:color w:val="000000" w:themeColor="text1"/>
          <w:highlight w:val="none"/>
          <w:lang w:val="en-US" w:eastAsia="zh-CN"/>
          <w14:textFill>
            <w14:solidFill>
              <w14:schemeClr w14:val="tx1"/>
            </w14:solidFill>
          </w14:textFill>
        </w:rPr>
        <w:t>三、优化提升三大传统产业</w:t>
      </w:r>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能源化工产业。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依托太阳山开发区、盐池工业园区，促进全市煤炭、石油、天然气等资源综合高效利用，到2025年，能源化工产业突破500亿元。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加大煤油气资源勘探开发。</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加快既有煤矿达标建设和改造升级，建成韦二煤矿、</w:t>
      </w:r>
      <w:r>
        <w:rPr>
          <w:rFonts w:hint="default" w:ascii="Times New Roman" w:hAnsi="Times New Roman" w:eastAsia="方正仿宋_GBK" w:cs="Times New Roman"/>
          <w:color w:val="000000" w:themeColor="text1"/>
          <w:highlight w:val="none"/>
          <w14:textFill>
            <w14:solidFill>
              <w14:schemeClr w14:val="tx1"/>
            </w14:solidFill>
          </w14:textFill>
        </w:rPr>
        <w:t>宋新庄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煤矿等现代化</w:t>
      </w:r>
      <w:r>
        <w:rPr>
          <w:rFonts w:hint="default" w:ascii="Times New Roman" w:hAnsi="Times New Roman" w:eastAsia="方正仿宋_GBK" w:cs="Times New Roman"/>
          <w:color w:val="000000" w:themeColor="text1"/>
          <w:highlight w:val="none"/>
          <w14:textFill>
            <w14:solidFill>
              <w14:schemeClr w14:val="tx1"/>
            </w14:solidFill>
          </w14:textFill>
        </w:rPr>
        <w:t>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推进新乔、永安、月儿湾等煤矿开工建设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有效增加煤炭供应</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推动中石油</w:t>
      </w:r>
      <w:r>
        <w:rPr>
          <w:rFonts w:hint="default" w:ascii="Times New Roman" w:hAnsi="Times New Roman" w:eastAsia="方正仿宋_GBK" w:cs="Times New Roman"/>
          <w:color w:val="000000" w:themeColor="text1"/>
          <w:highlight w:val="none"/>
          <w14:textFill>
            <w14:solidFill>
              <w14:schemeClr w14:val="tx1"/>
            </w14:solidFill>
          </w14:textFill>
        </w:rPr>
        <w:t>青石峁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气田</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中石化</w:t>
      </w:r>
      <w:r>
        <w:rPr>
          <w:rFonts w:hint="default" w:ascii="Times New Roman" w:hAnsi="Times New Roman" w:eastAsia="方正仿宋_GBK" w:cs="Times New Roman"/>
          <w:color w:val="000000" w:themeColor="text1"/>
          <w:highlight w:val="none"/>
          <w14:textFill>
            <w14:solidFill>
              <w14:schemeClr w14:val="tx1"/>
            </w14:solidFill>
          </w14:textFill>
        </w:rPr>
        <w:t>定北</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气田合作开发，提升油气供应能力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到2025年，全市</w:t>
      </w:r>
      <w:r>
        <w:rPr>
          <w:rFonts w:hint="default" w:ascii="Times New Roman" w:hAnsi="Times New Roman" w:eastAsia="方正仿宋_GBK" w:cs="Times New Roman"/>
          <w:color w:val="000000" w:themeColor="text1"/>
          <w:highlight w:val="none"/>
          <w14:textFill>
            <w14:solidFill>
              <w14:schemeClr w14:val="tx1"/>
            </w14:solidFill>
          </w14:textFill>
        </w:rPr>
        <w:t>煤炭年产能达到1160万吨</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原油年产能突破200万吨、天然气年产能达到80亿方。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加强能源高效转化与利用。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推进煤化工和油气化工贯通融合强基延链，</w:t>
      </w:r>
      <w:r>
        <w:rPr>
          <w:rFonts w:hint="default" w:ascii="Times New Roman" w:hAnsi="Times New Roman" w:eastAsia="方正仿宋_GBK" w:cs="Times New Roman"/>
          <w:color w:val="000000" w:themeColor="text1"/>
          <w:highlight w:val="none"/>
          <w14:textFill>
            <w14:solidFill>
              <w14:schemeClr w14:val="tx1"/>
            </w14:solidFill>
          </w14:textFill>
        </w:rPr>
        <w:t>重点发展煤制油气、煤基多联产</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天然气制氢等</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各种化工</w:t>
      </w:r>
      <w:r>
        <w:rPr>
          <w:rFonts w:hint="default" w:ascii="Times New Roman" w:hAnsi="Times New Roman" w:eastAsia="方正仿宋_GBK" w:cs="Times New Roman"/>
          <w:color w:val="000000" w:themeColor="text1"/>
          <w:highlight w:val="none"/>
          <w14:textFill>
            <w14:solidFill>
              <w14:schemeClr w14:val="tx1"/>
            </w14:solidFill>
          </w14:textFill>
        </w:rPr>
        <w:t>产品</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积极发展生物医药、绿色农药</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引导鼓励瑞丰煤化工</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宁鲁石化、金裕海化工等重点企业改造提升</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支持通达煤化、宝瑞隆石化等企业在产业链延伸发展上寻求转型途径，每年至少实施延链补链项目5个，加快能源化工产业高效环保、集群集聚和链式发展。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冶金产业。</w:t>
      </w:r>
      <w:r>
        <w:rPr>
          <w:rFonts w:hint="default" w:ascii="Times New Roman" w:hAnsi="Times New Roman" w:eastAsia="方正仿宋_GBK" w:cs="Times New Roman"/>
          <w:color w:val="000000" w:themeColor="text1"/>
          <w:highlight w:val="none"/>
          <w14:textFill>
            <w14:solidFill>
              <w14:schemeClr w14:val="tx1"/>
            </w14:solidFill>
          </w14:textFill>
        </w:rPr>
        <w:t>限制新建、扩建铁合金、电解铝等高耗能、低附加值产能，推广原料预处理等工艺实现精料入炉，实现余热、余气发电机原料预处理</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支持</w:t>
      </w:r>
      <w:r>
        <w:rPr>
          <w:rFonts w:hint="default" w:ascii="Times New Roman" w:hAnsi="Times New Roman" w:eastAsia="方正仿宋_GBK" w:cs="Times New Roman"/>
          <w:color w:val="000000" w:themeColor="text1"/>
          <w:highlight w:val="none"/>
          <w14:textFill>
            <w14:solidFill>
              <w14:schemeClr w14:val="tx1"/>
            </w14:solidFill>
          </w14:textFill>
        </w:rPr>
        <w:t>青铝股份、太阳镁业等重点企业延伸冶金产业链，重点发展轨道交通用大型铝合金型材、高性能铝合金板锭、汽车车身铝板高纯高压电子铝箔等高端材料，新型轻量化镁合金产品，加快向高强高韧铝合金、高端精深铝合金加工、高性能变形镁合金板材和型材延伸，改造提升技术装备水平，企业技术装备达到国际先进水平</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建材产业。</w:t>
      </w:r>
      <w:r>
        <w:rPr>
          <w:rFonts w:hint="default" w:ascii="Times New Roman" w:hAnsi="Times New Roman" w:eastAsia="方正仿宋_GBK" w:cs="Times New Roman"/>
          <w:color w:val="000000" w:themeColor="text1"/>
          <w:highlight w:val="none"/>
          <w14:textFill>
            <w14:solidFill>
              <w14:schemeClr w14:val="tx1"/>
            </w14:solidFill>
          </w14:textFill>
        </w:rPr>
        <w:t>支持绿色石膏产业发展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加强与清华大学、北新建材集团等机构合作，依托巨拓、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盛华龙</w:t>
      </w:r>
      <w:r>
        <w:rPr>
          <w:rFonts w:hint="default" w:ascii="Times New Roman" w:hAnsi="Times New Roman" w:eastAsia="方正仿宋_GBK" w:cs="Times New Roman"/>
          <w:color w:val="000000" w:themeColor="text1"/>
          <w:highlight w:val="none"/>
          <w14:textFill>
            <w14:solidFill>
              <w14:schemeClr w14:val="tx1"/>
            </w14:solidFill>
          </w14:textFill>
        </w:rPr>
        <w:t>等龙头企业，加快推进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盐池县</w:t>
      </w:r>
      <w:r>
        <w:rPr>
          <w:rFonts w:hint="default" w:ascii="Times New Roman" w:hAnsi="Times New Roman" w:eastAsia="方正仿宋_GBK" w:cs="Times New Roman"/>
          <w:color w:val="000000" w:themeColor="text1"/>
          <w:highlight w:val="none"/>
          <w14:textFill>
            <w14:solidFill>
              <w14:schemeClr w14:val="tx1"/>
            </w14:solidFill>
          </w14:textFill>
        </w:rPr>
        <w:t>青山</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大水坑石膏园建设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打造石膏精深加工产品。依托现有水泥产能重点发展混凝土部品部件、外围护部品等水泥基建筑部品部件，</w:t>
      </w:r>
      <w:r>
        <w:rPr>
          <w:rFonts w:hint="default" w:ascii="Times New Roman" w:hAnsi="Times New Roman" w:eastAsia="方正仿宋_GBK" w:cs="Times New Roman"/>
          <w:color w:val="000000" w:themeColor="text1"/>
          <w:highlight w:val="none"/>
          <w14:textFill>
            <w14:solidFill>
              <w14:schemeClr w14:val="tx1"/>
            </w14:solidFill>
          </w14:textFill>
        </w:rPr>
        <w:t>推广应用绿色建筑、装配式建筑</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推动建筑业转型升级</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鼓励企业对工业固体废物进行资源化综合利用。到2025年，一般工业固体废物综合利用率达到55%。</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02" w:name="_Toc31436"/>
      <w:r>
        <w:rPr>
          <w:rFonts w:hint="default" w:ascii="Times New Roman" w:hAnsi="Times New Roman" w:cs="Times New Roman"/>
          <w:b w:val="0"/>
          <w:color w:val="000000" w:themeColor="text1"/>
          <w:highlight w:val="none"/>
          <w:lang w:val="en-US" w:eastAsia="zh-CN"/>
          <w14:textFill>
            <w14:solidFill>
              <w14:schemeClr w14:val="tx1"/>
            </w14:solidFill>
          </w14:textFill>
        </w:rPr>
        <w:t>四、培育壮大三大新兴产业</w:t>
      </w:r>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电子信息产业。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电子仪器仪表与云计算、大数据、嵌入式软件等融合发展，依托骨干企业提升工业仪表、智能电表、燃气仪表、热力仪表等领域研发和自主创新能力，逐步形成电子仪器仪表特色优势。推进锂离子电池、石墨烯材料等领域新型关键元器件及材料研发和产业化，促进电子元器件产业集成化、高端化发展。到2025年，电子信息制造业产值突破10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新材料产业。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托太阳山开发区、青铜峡工业园区、盐池工业园区，扩大基础优势，推动新材料产品向高纯度、高强度、高精度、高性能方向延伸。以青铜峡铝业、太阳镁业为核心，重点发展高性能金属材料；以东吴农化、领航生物为核心，重点发展化工新材料产业；以和兴碳基为核心，重点发展先进无机非金属材料；支持重点企业提高自主创新能力，积极培育发展前沿新材料。到2025年，重点培育新材料骨干企业10家左右，产值超10亿元的2家，过亿元的10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清洁能源产业。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清洁能源产业由高速度向高比例、高质量发展转移，着力实现提质扩容、本地消纳、清洁转型、融合发展四个新突破，审慎发展水力发电，重点开工建设青铜峡抽水蓄能电站。优化风光电开发布局，建设利通区、红寺堡、盐池、同心等百万千瓦级光伏基地和麻黄山平价风电基地，因地制宜推广分布式光电项目，推进盐同红新能源一体化发展。加快建设同心县清洁能源新材料产业园，完善光伏制造产业链，提升风电制造配套能力，大力发展清洁能源生产性服务业。引导有条件发电企业利用富余电能电解制氢储能，推进青铜峡工业园区、太阳山开发区、盐池县工业园区氢能源建设。到2025年，清洁能源及配套产业链实现产值160亿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b w:val="0"/>
                <w:color w:val="000000" w:themeColor="text1"/>
                <w:sz w:val="28"/>
                <w:szCs w:val="28"/>
                <w:highlight w:val="none"/>
                <w:lang w:eastAsia="zh-CN"/>
                <w14:textFill>
                  <w14:solidFill>
                    <w14:schemeClr w14:val="tx1"/>
                  </w14:solidFill>
                </w14:textFill>
              </w:rPr>
              <w:t>专栏</w:t>
            </w:r>
            <w:r>
              <w:rPr>
                <w:rFonts w:hint="default" w:ascii="Times New Roman" w:hAnsi="Times New Roman" w:cs="Times New Roman"/>
                <w:b w:val="0"/>
                <w:color w:val="000000" w:themeColor="text1"/>
                <w:sz w:val="28"/>
                <w:szCs w:val="28"/>
                <w:highlight w:val="none"/>
                <w:lang w:val="en-US" w:eastAsia="zh-CN"/>
                <w14:textFill>
                  <w14:solidFill>
                    <w14:schemeClr w14:val="tx1"/>
                  </w14:solidFill>
                </w14:textFill>
              </w:rPr>
              <w:t>2</w:t>
            </w:r>
            <w:r>
              <w:rPr>
                <w:rFonts w:hint="default" w:ascii="Times New Roman" w:hAnsi="Times New Roman" w:cs="Times New Roman"/>
                <w:b w:val="0"/>
                <w:color w:val="000000" w:themeColor="text1"/>
                <w:sz w:val="28"/>
                <w:szCs w:val="28"/>
                <w:highlight w:val="none"/>
                <w:lang w:eastAsia="zh-CN"/>
                <w14:textFill>
                  <w14:solidFill>
                    <w14:schemeClr w14:val="tx1"/>
                  </w14:solidFill>
                </w14:textFill>
              </w:rPr>
              <w:t xml:space="preserve">  </w:t>
            </w:r>
            <w:r>
              <w:rPr>
                <w:rFonts w:hint="default" w:ascii="Times New Roman" w:hAnsi="Times New Roman" w:cs="Times New Roman"/>
                <w:b w:val="0"/>
                <w:color w:val="000000" w:themeColor="text1"/>
                <w:sz w:val="28"/>
                <w:szCs w:val="28"/>
                <w:highlight w:val="none"/>
                <w:lang w:val="en-US" w:eastAsia="zh-CN"/>
                <w14:textFill>
                  <w14:solidFill>
                    <w14:schemeClr w14:val="tx1"/>
                  </w14:solidFill>
                </w14:textFill>
              </w:rPr>
              <w:t>制造业</w:t>
            </w:r>
            <w:r>
              <w:rPr>
                <w:rFonts w:hint="default" w:ascii="Times New Roman" w:hAnsi="Times New Roman" w:cs="Times New Roman"/>
                <w:b w:val="0"/>
                <w:color w:val="000000" w:themeColor="text1"/>
                <w:sz w:val="28"/>
                <w:szCs w:val="28"/>
                <w:highlight w:val="none"/>
                <w:lang w:eastAsia="zh-CN"/>
                <w14:textFill>
                  <w14:solidFill>
                    <w14:schemeClr w14:val="tx1"/>
                  </w14:solidFill>
                </w14:textFill>
              </w:rPr>
              <w:t>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firstLine="522" w:firstLineChars="200"/>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1.装备制造项目：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汇高科技年产3000万件汽车刹车盘项目；新能源装备制造及研究应用一体化综合示范基地项目；东风汽车零部件集团公司年产400万只轮毂加工项目；宁夏联汽汽车部件汽车零部件及9万吨精密铸造项目；新能源电动车制造项目；铝型材深加工及制氢车间生产项目；宁夏奇力城年产5000万高精尖精密轴承制造项目；宁夏立晟达年产25万件锻造件产品项目；吴忠机器人组装厂建设项目；中集安瑞科清洁能源设备制造项目；农机制造项目；</w:t>
            </w:r>
            <w:r>
              <w:rPr>
                <w:rFonts w:hint="default" w:ascii="Times New Roman" w:hAnsi="Times New Roman" w:cs="Times New Roman"/>
                <w:b w:val="0"/>
                <w:bCs/>
                <w:color w:val="000000" w:themeColor="text1"/>
                <w:sz w:val="26"/>
                <w:szCs w:val="26"/>
                <w:highlight w:val="none"/>
                <w14:textFill>
                  <w14:solidFill>
                    <w14:schemeClr w14:val="tx1"/>
                  </w14:solidFill>
                </w14:textFill>
              </w:rPr>
              <w:t>年产5万吨高端装备承压合金材料</w:t>
            </w:r>
            <w:r>
              <w:rPr>
                <w:rFonts w:hint="default" w:ascii="Times New Roman" w:hAnsi="Times New Roman" w:cs="Times New Roman"/>
                <w:b w:val="0"/>
                <w:bCs/>
                <w:color w:val="000000" w:themeColor="text1"/>
                <w:sz w:val="26"/>
                <w:szCs w:val="26"/>
                <w:highlight w:val="none"/>
                <w:lang w:eastAsia="zh-CN"/>
                <w14:textFill>
                  <w14:solidFill>
                    <w14:schemeClr w14:val="tx1"/>
                  </w14:solidFill>
                </w14:textFill>
              </w:rPr>
              <w:t>项目；</w:t>
            </w:r>
            <w:r>
              <w:rPr>
                <w:rFonts w:hint="default" w:ascii="Times New Roman" w:hAnsi="Times New Roman" w:cs="Times New Roman"/>
                <w:b w:val="0"/>
                <w:bCs/>
                <w:color w:val="000000" w:themeColor="text1"/>
                <w:sz w:val="26"/>
                <w:szCs w:val="26"/>
                <w:highlight w:val="none"/>
                <w14:textFill>
                  <w14:solidFill>
                    <w14:schemeClr w14:val="tx1"/>
                  </w14:solidFill>
                </w14:textFill>
              </w:rPr>
              <w:t>年产5000吨全硅溶胶精密铸件</w:t>
            </w:r>
            <w:r>
              <w:rPr>
                <w:rFonts w:hint="default" w:ascii="Times New Roman" w:hAnsi="Times New Roman" w:cs="Times New Roman"/>
                <w:b w:val="0"/>
                <w:bCs/>
                <w:color w:val="000000" w:themeColor="text1"/>
                <w:sz w:val="26"/>
                <w:szCs w:val="26"/>
                <w:highlight w:val="none"/>
                <w:lang w:eastAsia="zh-CN"/>
                <w14:textFill>
                  <w14:solidFill>
                    <w14:schemeClr w14:val="tx1"/>
                  </w14:solidFill>
                </w14:textFill>
              </w:rPr>
              <w:t>项目；</w:t>
            </w:r>
            <w:r>
              <w:rPr>
                <w:rFonts w:hint="default" w:ascii="Times New Roman" w:hAnsi="Times New Roman" w:cs="Times New Roman"/>
                <w:b w:val="0"/>
                <w:bCs/>
                <w:color w:val="000000" w:themeColor="text1"/>
                <w:sz w:val="26"/>
                <w:szCs w:val="26"/>
                <w:highlight w:val="none"/>
                <w14:textFill>
                  <w14:solidFill>
                    <w14:schemeClr w14:val="tx1"/>
                  </w14:solidFill>
                </w14:textFill>
              </w:rPr>
              <w:t>年产5000吨低温蜡精密铸件</w:t>
            </w:r>
            <w:r>
              <w:rPr>
                <w:rFonts w:hint="default" w:ascii="Times New Roman" w:hAnsi="Times New Roman" w:cs="Times New Roman"/>
                <w:b w:val="0"/>
                <w:bCs/>
                <w:color w:val="000000" w:themeColor="text1"/>
                <w:sz w:val="26"/>
                <w:szCs w:val="26"/>
                <w:highlight w:val="none"/>
                <w:lang w:eastAsia="zh-CN"/>
                <w14:textFill>
                  <w14:solidFill>
                    <w14:schemeClr w14:val="tx1"/>
                  </w14:solidFill>
                </w14:textFill>
              </w:rPr>
              <w:t>项目；</w:t>
            </w:r>
            <w:r>
              <w:rPr>
                <w:rFonts w:hint="default" w:ascii="Times New Roman" w:hAnsi="Times New Roman" w:cs="Times New Roman"/>
                <w:b w:val="0"/>
                <w:bCs/>
                <w:color w:val="000000" w:themeColor="text1"/>
                <w:sz w:val="26"/>
                <w:szCs w:val="26"/>
                <w:highlight w:val="none"/>
                <w14:textFill>
                  <w14:solidFill>
                    <w14:schemeClr w14:val="tx1"/>
                  </w14:solidFill>
                </w14:textFill>
              </w:rPr>
              <w:t>深海用阀铸件生产线、核电用阀铸件、核岛一级泵专用铸件生产线及配套实验室</w:t>
            </w:r>
            <w:r>
              <w:rPr>
                <w:rFonts w:hint="default" w:ascii="Times New Roman" w:hAnsi="Times New Roman" w:cs="Times New Roman"/>
                <w:b w:val="0"/>
                <w:bCs/>
                <w:color w:val="000000" w:themeColor="text1"/>
                <w:sz w:val="26"/>
                <w:szCs w:val="26"/>
                <w:highlight w:val="none"/>
                <w:lang w:val="en-US" w:eastAsia="zh-CN"/>
                <w14:textFill>
                  <w14:solidFill>
                    <w14:schemeClr w14:val="tx1"/>
                  </w14:solidFill>
                </w14:textFill>
              </w:rPr>
              <w:t>等项目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2.绿色食品项目：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春升源年产2万吨调味品建设项目；中桦雪面粉及面熟制品生产项目；肽生产加工项目；羊肠衣加工项目；梦幻包装高端液态奶生产项目；环太健康产业园项目；回春年产10万吨葡萄籽深加工产业化项目；塞外香绿色食品产业园二期建设项目；盐池县怡健生物螺旋藻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3.现代纺织项目：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兴民纺织科技红寺堡区现代纺织扶贫项目（二期、三期）；德悦纺织技术中心建设</w:t>
            </w:r>
            <w:r>
              <w:rPr>
                <w:rFonts w:hint="default" w:ascii="Times New Roman" w:hAnsi="Times New Roman" w:cs="Times New Roman"/>
                <w:b w:val="0"/>
                <w:bCs/>
                <w:color w:val="000000" w:themeColor="text1"/>
                <w:sz w:val="26"/>
                <w:szCs w:val="26"/>
                <w:highlight w:val="none"/>
                <w:lang w:eastAsia="zh-CN"/>
                <w14:textFill>
                  <w14:solidFill>
                    <w14:schemeClr w14:val="tx1"/>
                  </w14:solidFill>
                </w14:textFill>
              </w:rPr>
              <w:t>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；恒丰纺织4号车间建设项目；10锭纺纱生产项目；年产5000吨无纺布生产加工项目；海丝新梦园年产200万件工装加工项目；江苏悦达家纺产业转移项目。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4.能源化工项目：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宝瑞隆石化300万吨/年煤粉制氢联产100万吨/年焦油轻质化综合利用项目；通达煤化工年产10万吨焦炉煤气甲烷化制LNG及配套项目；甲醇制丙烯（MTP）项目及聚丙烯项目；尼龙66生产项目；瑞峰能源焦炉煤气制品40万吨LNG项目；庆华煤化工产业链延伸项目；海利集团氨基甲酸酯类精细化学品项目；</w:t>
            </w:r>
            <w:r>
              <w:rPr>
                <w:rFonts w:hint="default" w:ascii="Times New Roman" w:hAnsi="Times New Roman" w:eastAsia="仿宋_GB2312" w:cs="Times New Roman"/>
                <w:color w:val="000000" w:themeColor="text1"/>
                <w:spacing w:val="-11"/>
                <w:kern w:val="0"/>
                <w:sz w:val="26"/>
                <w:szCs w:val="26"/>
                <w:highlight w:val="none"/>
                <w:lang w:eastAsia="zh-CN"/>
                <w14:textFill>
                  <w14:solidFill>
                    <w14:schemeClr w14:val="tx1"/>
                  </w14:solidFill>
                </w14:textFill>
              </w:rPr>
              <w:t>高</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沙窝集中区热电联产项目；申能热电联产项目。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.生物医药项目：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港兴新材料年产10万吨有机酸及衍生产品项目；坤正生物年产5000吨氟苯医药产品项目；星岛药业年产5000吨邻氨基苯甲酸等医药项目；太阳山伟朋生物年产200吨2-丙硫基-4,6-二氯-5-氨基嘧啶、500吨/年敏乐啶等医药项目；建鹏新材料年产1200吨2,4-二苯磺酰基苯酚、6000吨/1,4-二羟基蒽醌及联产10万吨/年硫酸镁医药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天泽化工年产3.32万吨精细化学品项目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建材项目：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盛华龙矿业石膏深加工项目；西夏天杰有限公司水泥窑协同处置固危废升级改造</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；青山石膏开采加工项目。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7.电子信息</w:t>
            </w:r>
            <w:r>
              <w:rPr>
                <w:rFonts w:hint="default" w:ascii="Times New Roman" w:hAnsi="Times New Roman" w:cs="Times New Roman"/>
                <w:b/>
                <w:bCs/>
                <w:color w:val="000000" w:themeColor="text1"/>
                <w:sz w:val="26"/>
                <w:szCs w:val="26"/>
                <w:highlight w:val="none"/>
                <w14:textFill>
                  <w14:solidFill>
                    <w14:schemeClr w14:val="tx1"/>
                  </w14:solidFill>
                </w14:textFill>
              </w:rPr>
              <w:t>项目</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eastAsia="zh-CN"/>
                <w14:textFill>
                  <w14:solidFill>
                    <w14:schemeClr w14:val="tx1"/>
                  </w14:solidFill>
                </w14:textFill>
              </w:rPr>
              <w:t>吴忠仪表电动执行机构产业化、智能定位研发及产业化、自动调节阀产业化项目；众虎科技年产5万套本质安全型防爆智能视频监控分析系统研发项目。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8.新材料项目：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中镁（宁夏）镁业科技有限公司新能源汽车配套及镁合金材料深加工项目；宁夏大禹新材料科技有限公司年产3万吨抗皱防缩树脂（硬挺剂）建设项目；宁夏银丰新材料科技有限公司年产5000吨化学助剂吨高纯助剂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宁夏中泰兴能科技有限公司年产10000吨锂电池负极材料项目；</w:t>
            </w:r>
            <w:r>
              <w:rPr>
                <w:rFonts w:hint="default" w:ascii="Times New Roman" w:hAnsi="Times New Roman" w:cs="Times New Roman"/>
                <w:color w:val="000000" w:themeColor="text1"/>
                <w:sz w:val="26"/>
                <w:szCs w:val="26"/>
                <w:highlight w:val="none"/>
                <w14:textFill>
                  <w14:solidFill>
                    <w14:schemeClr w14:val="tx1"/>
                  </w14:solidFill>
                </w14:textFill>
              </w:rPr>
              <w:t>青铜峡铝业科技工程有限公司年产2.5万吨铝型材生产线项目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河北立中集团铝深加工项目；同心县同芯光电材料有限公司年产5000吨电子特种气体项目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trike w:val="0"/>
                <w:dstrike w:val="0"/>
                <w:color w:val="000000" w:themeColor="text1"/>
                <w:spacing w:val="-6"/>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9.清洁能源项目：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青铜峡</w:t>
            </w:r>
            <w:r>
              <w:rPr>
                <w:rFonts w:hint="default" w:ascii="Times New Roman" w:hAnsi="Times New Roman" w:cs="Times New Roman"/>
                <w:color w:val="000000" w:themeColor="text1"/>
                <w:sz w:val="26"/>
                <w:szCs w:val="26"/>
                <w:highlight w:val="none"/>
                <w:lang w:eastAsia="zh-CN"/>
                <w14:textFill>
                  <w14:solidFill>
                    <w14:schemeClr w14:val="tx1"/>
                  </w14:solidFill>
                </w14:textFill>
              </w:rPr>
              <w:t>抽水蓄能项目；定北区块天然气综合转化利用项目；盐池县青石峁区域天然气综合转化利用项目；唐山海泰光伏制造项目；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利通区新能源平价基地项目；红寺堡区清洁能源产业一体化配套发展项目；中核清洁能源新材料产业园建设项目；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同心县500兆瓦光伏发电项目；同心县50万千瓦风力发电项目；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同心县清洁能源新材料产业园</w:t>
            </w:r>
            <w:r>
              <w:rPr>
                <w:rFonts w:hint="default" w:ascii="Times New Roman" w:hAnsi="Times New Roman" w:cs="Times New Roman"/>
                <w:color w:val="000000" w:themeColor="text1"/>
                <w:sz w:val="26"/>
                <w:szCs w:val="26"/>
                <w:highlight w:val="none"/>
                <w:lang w:eastAsia="zh-CN"/>
                <w14:textFill>
                  <w14:solidFill>
                    <w14:schemeClr w14:val="tx1"/>
                  </w14:solidFill>
                </w14:textFill>
              </w:rPr>
              <w:t>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eastAsia="zh-CN"/>
                <w14:textFill>
                  <w14:solidFill>
                    <w14:schemeClr w14:val="tx1"/>
                  </w14:solidFill>
                </w14:textFill>
              </w:rPr>
              <w:t>王乐井光伏产业园项目。</w:t>
            </w:r>
          </w:p>
        </w:tc>
      </w:tr>
    </w:tbl>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03" w:name="_Toc11873"/>
      <w:bookmarkStart w:id="104" w:name="_Toc31534"/>
      <w:r>
        <w:rPr>
          <w:rFonts w:hint="default" w:ascii="Times New Roman" w:hAnsi="Times New Roman" w:cs="Times New Roman"/>
          <w:color w:val="000000" w:themeColor="text1"/>
          <w:highlight w:val="none"/>
          <w:lang w:val="en-US" w:eastAsia="zh-CN"/>
          <w14:textFill>
            <w14:solidFill>
              <w14:schemeClr w14:val="tx1"/>
            </w14:solidFill>
          </w14:textFill>
        </w:rPr>
        <w:t>五、打造区域化工业集群</w:t>
      </w:r>
      <w:bookmarkEnd w:id="103"/>
      <w:bookmarkEnd w:id="104"/>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深化园区体制机制改革。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引进与培育相结合，增强自我研发配套能力，形成错位互补、分工协作的发展格局。鼓励市场主体参与园区运营建设，采取设立工业园区国有运营公司、对现有国有开发建设公司进行资产重组、引进外部园区建设运营企业等多种改革方式，全面推广</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管委会+公司</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运营模式。进一步健全完善园区财税管理体制，落实人事薪酬制度改革实施方案，推进工业园区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区域评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改革成果共享、部门互认，降低企业要素成本。</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加快园区低成本化改造。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工业园区发展需要，有针对性地支持一批集中供汽、供热、微电网、中水回用、余热利用、固废利用等低成本化改造项目，提高生产要素市场化配置水平，着力破除生产基础资源要素瓶颈，提升园区承载能力和服务效能。</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推动园区联动协同发展。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工业园区发展定位，推动产业间横向耦合、园区间协调联动。加快太阳山开发区、高沙窝工业集中区与宁东能源化工基地一体化发展，青铜峡工业园区与金积工业园区联动发展。支持盐池、同心发展石膏精深加工和特种水泥，打造国内具有较强影响力的天然石膏制品基地和高端石膏建材集散地。聚力打造以金积工业园区为核心的绿色食品产业基地，以盐池、太阳山、青铜峡为主体的能源化工产业基地，以利通区、青铜峡为重点的装备制造产业基地，以利通区、同心为重点的现代纺织产业基地，以盐池、同心、红寺堡为重点的清洁能源产业基地，以太阳山、青铜峡为主体的铝镁新材料产业基地，形成一批龙头企业带动、骨干企业支撑、中小微企业配套的产业集群，力争建成金积、太阳山、青铜峡三个300亿元园区。</w:t>
      </w:r>
    </w:p>
    <w:p>
      <w:pPr>
        <w:pStyle w:val="3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表2 吴忠市工业园区发展指导</w:t>
      </w:r>
    </w:p>
    <w:tbl>
      <w:tblPr>
        <w:tblStyle w:val="2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96"/>
        <w:gridCol w:w="3150"/>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序号</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园区名称</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发展定位</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1</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宁夏吴忠金积工业园区</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宁夏纺织服务及农副产品加工、装备制造示范区</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纺织服装、装备制造、农副产品加工（重点发展奶产业、牛羊肉加工等产业）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2</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吴忠太阳山开发区</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pacing w:val="-11"/>
                <w:sz w:val="26"/>
                <w:szCs w:val="26"/>
                <w:highlight w:val="none"/>
                <w:lang w:val="en-US" w:eastAsia="zh-CN"/>
                <w14:textFill>
                  <w14:solidFill>
                    <w14:schemeClr w14:val="tx1"/>
                  </w14:solidFill>
                </w14:textFill>
              </w:rPr>
              <w:t>煤化工和镁合金材料产业基地、轻工及农副产品加工区</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装备制造、煤化工、生物医药、轻工及农副产品加工（重点发展葡萄酒、黄花菜加工等产业）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3</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6"/>
                <w:szCs w:val="26"/>
                <w:highlight w:val="none"/>
                <w:lang w:val="en-US" w:eastAsia="zh-CN"/>
                <w14:textFill>
                  <w14:solidFill>
                    <w14:schemeClr w14:val="tx1"/>
                  </w14:solidFill>
                </w14:textFill>
              </w:rPr>
              <w:t>宁夏青铜峡工业园区</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宁夏新材料产业示范基地、西部轴承产业基地、宁夏智能制造设备产业园</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精细化工、铝及新材料产业、汽车零部件及智能制造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4</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宁夏盐池工业园区</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特色农副产品加工园区、煤化工后备发展基地</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油气化工下游产业、煤化工下游产业、特色农副产品加工（重点发展黄花菜加工、滩羊肉加工等产业）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5</w:t>
            </w:r>
          </w:p>
        </w:tc>
        <w:tc>
          <w:tcPr>
            <w:tcW w:w="1496"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宁夏同心工业园区</w:t>
            </w:r>
          </w:p>
        </w:tc>
        <w:tc>
          <w:tcPr>
            <w:tcW w:w="3150"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羊绒纺织、特色农副产品加工基地</w:t>
            </w:r>
          </w:p>
        </w:tc>
        <w:tc>
          <w:tcPr>
            <w:tcW w:w="4092"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精细化工、纺织、轻工制造业（重点发展枸杞深加工、牛羊肉加工等产业）</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05" w:name="_Toc16899"/>
      <w:bookmarkStart w:id="106" w:name="_Toc29753"/>
      <w:bookmarkStart w:id="107" w:name="_Toc5789"/>
      <w:bookmarkStart w:id="108" w:name="_Toc29219"/>
      <w:bookmarkStart w:id="109" w:name="_Toc22949"/>
      <w:r>
        <w:rPr>
          <w:rFonts w:hint="default" w:ascii="Times New Roman" w:hAnsi="Times New Roman" w:eastAsia="方正黑体简体" w:cs="Times New Roman"/>
          <w:color w:val="000000"/>
          <w:spacing w:val="0"/>
          <w:sz w:val="32"/>
          <w:szCs w:val="32"/>
          <w:lang w:val="en-US" w:eastAsia="zh-CN"/>
        </w:rPr>
        <w:t xml:space="preserve">第三节  </w:t>
      </w:r>
      <w:bookmarkEnd w:id="105"/>
      <w:bookmarkEnd w:id="106"/>
      <w:bookmarkEnd w:id="107"/>
      <w:bookmarkEnd w:id="108"/>
      <w:r>
        <w:rPr>
          <w:rFonts w:hint="default" w:ascii="Times New Roman" w:hAnsi="Times New Roman" w:eastAsia="方正黑体简体" w:cs="Times New Roman"/>
          <w:color w:val="000000"/>
          <w:spacing w:val="0"/>
          <w:sz w:val="32"/>
          <w:szCs w:val="32"/>
          <w:lang w:val="en-US" w:eastAsia="zh-CN"/>
        </w:rPr>
        <w:t>提质发展高效农业</w:t>
      </w:r>
      <w:bookmarkEnd w:id="109"/>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110" w:name="_Toc9051"/>
      <w:bookmarkStart w:id="111" w:name="_Toc21701"/>
      <w:bookmarkStart w:id="112" w:name="_Toc26384"/>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抓住自治区建设国家农业绿色发展先行区机遇，坚持以龙头为依托、以产业园区为支撑、以特色发展为目标，立足资源禀赋和产业基础优势，健全产业体系、生产体系、经营体系，调优结构、提高品质、打造品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让宁夏更多农产品走向市场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。到2025年，农业总产值达到180亿元以上，年均增长3.5%。</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13" w:name="_Toc19995"/>
      <w:bookmarkStart w:id="114" w:name="_Toc22454"/>
      <w:r>
        <w:rPr>
          <w:rFonts w:hint="default" w:ascii="Times New Roman" w:hAnsi="Times New Roman" w:cs="Times New Roman"/>
          <w:color w:val="000000" w:themeColor="text1"/>
          <w:highlight w:val="none"/>
          <w:lang w:val="en-US" w:eastAsia="zh-CN"/>
          <w14:textFill>
            <w14:solidFill>
              <w14:schemeClr w14:val="tx1"/>
            </w14:solidFill>
          </w14:textFill>
        </w:rPr>
        <w:t>一、构建现代农业产业体系</w:t>
      </w:r>
      <w:bookmarkEnd w:id="113"/>
      <w:bookmarkEnd w:id="114"/>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优化农业区域布局和产业结构，集中精力建设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一园引领，两区统筹，三带集聚，特色支撑，产业融合</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，推动吴忠现代特色农业布局区域化、生产标准化、经营品牌化、发展融合化。</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加强吴忠国家农业科技园区建设。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重点攻克现代农业技术研发示范、产业链延伸、产品营销、人才培养、科技创新等主要内容，突出发展草畜一体、优质瓜菜、精品林果三大主导产业，培育壮大休闲观光农业和生态循环农业等新兴产业。强化企业研发投入、高新技术产品开发，提升生产机械化、信息化、智能化水平，推动产业链向中高端攀升。</w:t>
      </w:r>
    </w:p>
    <w:p>
      <w:pPr>
        <w:pStyle w:val="5"/>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b/>
          <w:bCs/>
          <w:color w:val="000000" w:themeColor="text1"/>
          <w:kern w:val="2"/>
          <w:highlight w:val="none"/>
          <w:lang w:val="en-US" w:eastAsia="zh-CN" w:bidi="ar-SA"/>
          <w14:textFill>
            <w14:solidFill>
              <w14:schemeClr w14:val="tx1"/>
            </w14:solidFill>
          </w14:textFill>
        </w:rPr>
        <w:t>全力打造两个示范区。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引黄灌区现代高效生态农业集聚区。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以利通区、青铜峡为核心区域，重点发展优质粮食、奶牛养殖、精品瓜菜、酿酒葡萄、饲草种植等产业，结合国家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米袋子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菜篮子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工程，加快推动绿色蔬菜示范基地、优质粮食示范基地、种养循环农业示范区、渔业健康养殖示范场建设，打造引黄灌区现代高效生态农业集聚区。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中部干旱带节水现代农业示范区。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盐池、同心、红寺堡等地为核心区域，聚焦肉牛、滩羊、酿酒葡萄、黄花菜、枸杞、小杂粮、亚麻籽、中药材、文冠果等产业，适当发展奶牛养殖，加大饲草种植面积，合理优化粮经饲产业结构，推广高效节水灌溉、水肥一体化等现代农业节水技术，深入实施耕地质量提升、旱作良种攻关、农技集成创新、农机配套融合等工程，构建具有地方特色的有机旱作技术体系。</w:t>
      </w:r>
    </w:p>
    <w:p>
      <w:pPr>
        <w:pStyle w:val="5"/>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b/>
          <w:bCs/>
          <w:color w:val="000000" w:themeColor="text1"/>
          <w:kern w:val="2"/>
          <w:highlight w:val="none"/>
          <w:lang w:val="en-US" w:eastAsia="zh-CN" w:bidi="ar-SA"/>
          <w14:textFill>
            <w14:solidFill>
              <w14:schemeClr w14:val="tx1"/>
            </w14:solidFill>
          </w14:textFill>
        </w:rPr>
        <w:t>积极发展三大产业带。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黄金奶源产业带。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稳步壮大利通区、青铜峡和吴忠国家农业科技园区奶源基地，支持拓展盐池和同心发展奶牛养殖。加强规模养殖场基础设施建设，推广使用性控冻精、DHI测定等技术，配套建设奶牛养殖信息化管理平台，配套完善全混合日粮（TMR）饲喂、自动发情监测、机械化挤奶等设备。创建国家级、自治区级标准化规模养殖场，加快奶产业胚胎生产中心建设，带动吴忠奶产业品质化、高端化发展，建设集中连片优质牧草基地，全产业链打造高端奶之乡。到2025年，全市奶牛饲养量达到43万头，鲜奶总产量达到215万吨，奶产业综合产值达到400亿元。</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贺兰山东麓葡萄酒产业带。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沿贺兰山东麓的青铜峡、红寺堡、同心，按照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大产区、大产业、酒庄酒</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展思路，构建集酿酒葡萄种植、酿造加工、文化旅游、生态治理等为一体的一二三产业高度融合发展新格局，加大引种试验、栽培试验等相关研究工作力度，增强优质原料保障能力。不断提升吴忠产区葡萄酒品牌知名度，推广以葡萄酒为主题的会所经营、酒庄式直销及仓储消费方式，带动葡萄酒产业整体个性化发展，打造贺兰山东麓葡萄酒产业带。到2025年，新增酿酒葡萄种植面积24.7万亩，达到49.6万亩；新建酒庄24家，达到89家，年产优质葡萄酒12万吨，实现综合产值达到500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优质粮食产业带。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粮食生产功能区建设，利通区、青铜峡重点发展小麦、水稻、玉米等作物；盐池、同心和红寺堡重点发展小杂粮、玉米、马铃薯等作物，推进区域化合理布局。支持青铜峡制种大县建设，依托塞外香等龙头企业，通过品种选育、品质提升、技术规范，全面提高标准化生产水平，打造优质粮食产业带，保障重要农产品供给安全。到2025年，全市粮食播种面积稳定在300万亩以上、产量稳定在100万吨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b/>
          <w:bCs/>
          <w:color w:val="000000" w:themeColor="text1"/>
          <w:kern w:val="2"/>
          <w:highlight w:val="none"/>
          <w:lang w:val="en-US" w:eastAsia="zh-CN" w:bidi="ar-SA"/>
          <w14:textFill>
            <w14:solidFill>
              <w14:schemeClr w14:val="tx1"/>
            </w14:solidFill>
          </w14:textFill>
        </w:rPr>
        <w:t>提升壮大七大特色产业。</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滩羊产业。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提升盐同红滩羊核心区发展优势，优化利通区滩羊改良区布局。推广家庭经营</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300</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模式，壮大新型经营主体，引进更多知名企业落地，提升联企带农能力，建设滩羊示范村、示范乡。严格生产技术和规范，全面推广种养结合技术，建立研、选、育、推一体化生产体系。加强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盐池滩羊</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品牌宣传与保护，强化品牌带动效应，促进品牌优势向产区优势、生产优势、市场优势转化。到2025年，滩羊饲养量达到745万只。</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肉牛产业。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优化产区布局，</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推进肉牛品种改良，</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培育</w:t>
      </w:r>
      <w:r>
        <w:rPr>
          <w:rFonts w:hint="default" w:ascii="Times New Roman" w:hAnsi="Times New Roman" w:eastAsia="方正仿宋_GBK" w:cs="Times New Roman"/>
          <w:color w:val="000000" w:themeColor="text1"/>
          <w:highlight w:val="none"/>
          <w:lang w:eastAsia="zh-CN"/>
          <w14:textFill>
            <w14:solidFill>
              <w14:schemeClr w14:val="tx1"/>
            </w14:solidFill>
          </w14:textFill>
        </w:rPr>
        <w:t>良种繁育龙头企业，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推进良种繁育基地建设。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推广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家庭经营</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50</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模式，</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推进种养结合、</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自繁自育，集中连片打造示范村、示范乡（镇）。引进龙头企业，</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支持提升屠宰和精深加工能力，推进肉牛产业精品化、高端化发展。发展品牌营销，拓展销售渠道，唱响</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吴忠牛肉</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品牌，打造全国优质肉牛繁育基地和优质牛肉生产基地。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到2025年，肉牛饲养量达到58.7万头。</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黄花菜产业。</w:t>
      </w:r>
      <w:r>
        <w:rPr>
          <w:rFonts w:hint="default" w:ascii="Times New Roman" w:hAnsi="Times New Roman" w:eastAsia="方正仿宋_GBK" w:cs="Times New Roman"/>
          <w:color w:val="000000" w:themeColor="text1"/>
          <w:highlight w:val="none"/>
          <w14:textFill>
            <w14:solidFill>
              <w14:schemeClr w14:val="tx1"/>
            </w14:solidFill>
          </w14:textFill>
        </w:rPr>
        <w:t>推进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黄花菜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良种繁育</w:t>
      </w:r>
      <w:r>
        <w:rPr>
          <w:rFonts w:hint="default" w:ascii="Times New Roman" w:hAnsi="Times New Roman" w:eastAsia="方正仿宋_GBK" w:cs="Times New Roman"/>
          <w:color w:val="000000" w:themeColor="text1"/>
          <w:highlight w:val="none"/>
          <w14:textFill>
            <w14:solidFill>
              <w14:schemeClr w14:val="tx1"/>
            </w14:solidFill>
          </w14:textFill>
        </w:rPr>
        <w:t>，打造绿色黄花菜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标准化</w:t>
      </w:r>
      <w:r>
        <w:rPr>
          <w:rFonts w:hint="default" w:ascii="Times New Roman" w:hAnsi="Times New Roman" w:eastAsia="方正仿宋_GBK" w:cs="Times New Roman"/>
          <w:color w:val="000000" w:themeColor="text1"/>
          <w:highlight w:val="none"/>
          <w14:textFill>
            <w14:solidFill>
              <w14:schemeClr w14:val="tx1"/>
            </w14:solidFill>
          </w14:textFill>
        </w:rPr>
        <w:t>种植基地</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；积极引入</w:t>
      </w:r>
      <w:r>
        <w:rPr>
          <w:rFonts w:hint="default" w:ascii="Times New Roman" w:hAnsi="Times New Roman" w:eastAsia="方正仿宋_GBK" w:cs="Times New Roman"/>
          <w:color w:val="000000" w:themeColor="text1"/>
          <w:highlight w:val="none"/>
          <w14:textFill>
            <w14:solidFill>
              <w14:schemeClr w14:val="tx1"/>
            </w14:solidFill>
          </w14:textFill>
        </w:rPr>
        <w:t>大型龙头企业，鼓励加强精深加工</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技术</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延伸产业链，提升产品附加值；</w:t>
      </w:r>
      <w:r>
        <w:rPr>
          <w:rFonts w:hint="default" w:ascii="Times New Roman" w:hAnsi="Times New Roman" w:eastAsia="方正仿宋_GBK" w:cs="Times New Roman"/>
          <w:color w:val="000000" w:themeColor="text1"/>
          <w:highlight w:val="none"/>
          <w14:textFill>
            <w14:solidFill>
              <w14:schemeClr w14:val="tx1"/>
            </w14:solidFill>
          </w14:textFill>
        </w:rPr>
        <w:t>健全销售网络，通过线上线下销售和实体销售店建设，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畅通销售渠道，</w:t>
      </w:r>
      <w:r>
        <w:rPr>
          <w:rFonts w:hint="default" w:ascii="Times New Roman" w:hAnsi="Times New Roman" w:eastAsia="方正仿宋_GBK" w:cs="Times New Roman"/>
          <w:color w:val="000000" w:themeColor="text1"/>
          <w:highlight w:val="none"/>
          <w14:textFill>
            <w14:solidFill>
              <w14:schemeClr w14:val="tx1"/>
            </w14:solidFill>
          </w14:textFill>
        </w:rPr>
        <w:t>加大</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品牌</w:t>
      </w:r>
      <w:r>
        <w:rPr>
          <w:rFonts w:hint="default" w:ascii="Times New Roman" w:hAnsi="Times New Roman" w:eastAsia="方正仿宋_GBK" w:cs="Times New Roman"/>
          <w:color w:val="000000" w:themeColor="text1"/>
          <w:highlight w:val="none"/>
          <w14:textFill>
            <w14:solidFill>
              <w14:schemeClr w14:val="tx1"/>
            </w14:solidFill>
          </w14:textFill>
        </w:rPr>
        <w:t>宣传和扶持力度，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盐池黄花菜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区域公用品牌知名度。2025年，</w:t>
      </w:r>
      <w:r>
        <w:rPr>
          <w:rFonts w:hint="default" w:ascii="Times New Roman" w:hAnsi="Times New Roman" w:eastAsia="方正仿宋_GBK" w:cs="Times New Roman"/>
          <w:color w:val="000000" w:themeColor="text1"/>
          <w:highlight w:val="none"/>
          <w14:textFill>
            <w14:solidFill>
              <w14:schemeClr w14:val="tx1"/>
            </w14:solidFill>
          </w14:textFill>
        </w:rPr>
        <w:t>建成万亩标准化种植示范基地</w:t>
      </w:r>
      <w:r>
        <w:rPr>
          <w:rFonts w:hint="default" w:ascii="Times New Roman" w:hAnsi="Times New Roman" w:eastAsia="方正仿宋_GBK" w:cs="Times New Roman"/>
          <w:color w:val="000000" w:themeColor="text1"/>
          <w:highlight w:val="none"/>
          <w:lang w:eastAsia="zh-CN"/>
          <w14:textFill>
            <w14:solidFill>
              <w14:schemeClr w14:val="tx1"/>
            </w14:solidFill>
          </w14:textFill>
        </w:rPr>
        <w:t>7</w:t>
      </w:r>
      <w:r>
        <w:rPr>
          <w:rFonts w:hint="default" w:ascii="Times New Roman" w:hAnsi="Times New Roman" w:eastAsia="方正仿宋_GBK" w:cs="Times New Roman"/>
          <w:color w:val="000000" w:themeColor="text1"/>
          <w:highlight w:val="none"/>
          <w14:textFill>
            <w14:solidFill>
              <w14:schemeClr w14:val="tx1"/>
            </w14:solidFill>
          </w14:textFill>
        </w:rPr>
        <w:t>个，千亩标准化示范基地20个</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枸杞产业。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支持企业开展与国内外著名饮料、食品、制药加工集团的合作，引进新工艺、新设备、新技术，进一步开发新产品，扩大加工能力，提高枸杞加工率。培育3－5家经济实力强、销售网络完善、经营规模大、信誉好的营销龙头企业，推动形成产加销一条龙、农工贸一体化的格局。到2025年，枸杞种植面积17万亩，枸杞干果年产量达到1.8万吨。</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瓜菜产业。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菜篮子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发展番茄、辣椒、芹菜、茄子等优势特色蔬菜，选择产量高、品质优的品种，以销定产，培育利通区、青铜峡宁夏菜心，红寺堡、盐池黄花菜，同心红葱产业，建设蔬菜集配中心。建立出口导向型的现代果蔬产业示范园，推动更多种植企业与销售商共建基地、订单销售。到2025年，全市瓜菜种植面积达到60万亩，产量达到150万吨，设施瓜菜面积达到7万亩，打造宁夏最大的菜篮子基地、西部绿色蔬菜生产基地和交易中心。</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中药材产业。</w:t>
      </w:r>
      <w:r>
        <w:rPr>
          <w:rFonts w:hint="default" w:ascii="Times New Roman" w:hAnsi="Times New Roman" w:eastAsia="方正仿宋_GBK" w:cs="Times New Roman"/>
          <w:color w:val="000000" w:themeColor="text1"/>
          <w:highlight w:val="none"/>
          <w14:textFill>
            <w14:solidFill>
              <w14:schemeClr w14:val="tx1"/>
            </w14:solidFill>
          </w14:textFill>
        </w:rPr>
        <w:t>坚持</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生态保护优先，突出道地特色</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，以盐池、同心、红寺堡为重点区域发展甘草、银柴胡、黄芪、板蓝根等中药材种植，推行</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企业+合作社+基地+农户</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产业化模式发展，建设中药材种苗、标准化种植、林药间作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野生资源修复利用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基地和</w:t>
      </w:r>
      <w:r>
        <w:rPr>
          <w:rFonts w:hint="default" w:ascii="Times New Roman" w:hAnsi="Times New Roman" w:eastAsia="方正仿宋_GBK" w:cs="Times New Roman"/>
          <w:color w:val="000000" w:themeColor="text1"/>
          <w:highlight w:val="none"/>
          <w14:textFill>
            <w14:solidFill>
              <w14:schemeClr w14:val="tx1"/>
            </w14:solidFill>
          </w14:textFill>
        </w:rPr>
        <w:t>中药材初加工基地，建设中药材科技文化产业园和中药材交易市场。到2025年，全市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w:t>
      </w:r>
      <w:r>
        <w:rPr>
          <w:rFonts w:hint="default" w:ascii="Times New Roman" w:hAnsi="Times New Roman" w:eastAsia="方正仿宋_GBK" w:cs="Times New Roman"/>
          <w:color w:val="000000" w:themeColor="text1"/>
          <w:highlight w:val="none"/>
          <w14:textFill>
            <w14:solidFill>
              <w14:schemeClr w14:val="tx1"/>
            </w14:solidFill>
          </w14:textFill>
        </w:rPr>
        <w:t>药材栽培面积达到40万亩。</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小杂粮产业。</w:t>
      </w:r>
      <w:r>
        <w:rPr>
          <w:rFonts w:hint="default" w:ascii="Times New Roman" w:hAnsi="Times New Roman" w:eastAsia="方正仿宋_GBK" w:cs="Times New Roman"/>
          <w:color w:val="000000" w:themeColor="text1"/>
          <w:highlight w:val="none"/>
          <w14:textFill>
            <w14:solidFill>
              <w14:schemeClr w14:val="tx1"/>
            </w14:solidFill>
          </w14:textFill>
        </w:rPr>
        <w:t>以良种化种植、标准化生产、产业化开发为途径，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在</w:t>
      </w:r>
      <w:r>
        <w:rPr>
          <w:rFonts w:hint="default" w:ascii="Times New Roman" w:hAnsi="Times New Roman" w:eastAsia="方正仿宋_GBK" w:cs="Times New Roman"/>
          <w:color w:val="000000" w:themeColor="text1"/>
          <w:highlight w:val="none"/>
          <w14:textFill>
            <w14:solidFill>
              <w14:schemeClr w14:val="tx1"/>
            </w14:solidFill>
          </w14:textFill>
        </w:rPr>
        <w:t>盐池、同心、红寺堡重点发展荞麦、谷子、糜子等作物，推动小杂粮产业适度规模发展，提高小杂粮质量效益，打造绿色、生态、有机、富硒的小杂粮品牌。到2025年，全市小杂粮种植面积达到100万亩</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15" w:name="_Toc29973"/>
      <w:bookmarkStart w:id="116" w:name="_Toc21082"/>
      <w:r>
        <w:rPr>
          <w:rFonts w:hint="default" w:ascii="Times New Roman" w:hAnsi="Times New Roman" w:cs="Times New Roman"/>
          <w:color w:val="000000" w:themeColor="text1"/>
          <w:highlight w:val="none"/>
          <w:lang w:val="en-US" w:eastAsia="zh-CN"/>
          <w14:textFill>
            <w14:solidFill>
              <w14:schemeClr w14:val="tx1"/>
            </w14:solidFill>
          </w14:textFill>
        </w:rPr>
        <w:t>二、构建现代农业生产体系</w:t>
      </w:r>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sz w:val="30"/>
          <w:szCs w:val="30"/>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大力发展标准化农业。</w:t>
      </w:r>
      <w:r>
        <w:rPr>
          <w:rFonts w:hint="default" w:ascii="Times New Roman" w:hAnsi="Times New Roman" w:eastAsia="方正仿宋_GBK" w:cs="Times New Roman"/>
          <w:color w:val="000000" w:themeColor="text1"/>
          <w:highlight w:val="none"/>
          <w14:textFill>
            <w14:solidFill>
              <w14:schemeClr w14:val="tx1"/>
            </w14:solidFill>
          </w14:textFill>
        </w:rPr>
        <w:t>建立健全农产品标准体系，加强农业标准化试验示范。结合</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农业标准化示范基地</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创建，在蔬菜、畜牧、饲草、枸杞等重点领域先行推进。与中国农科院合作推进奶产业全产业链标准化生产研究及推广应用。不断完善农产品质量安全体系</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信用管理，从源头保障农产品质量安全。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到2025年，全市绿色、有机、地理标志、良好农业规范农产品的认证登记数量年均增长5%以上。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强化农业设施装备支撑。</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建设现代化节水型农业，</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发展引扬黄灌区规模化高效节水灌溉，完成自流灌区节水改造和现代化建设，</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实施</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盐环定、红寺堡扬水工程更新改造</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病险水库除险加固</w:t>
      </w:r>
      <w:r>
        <w:rPr>
          <w:rFonts w:hint="default" w:ascii="Times New Roman" w:hAnsi="Times New Roman" w:eastAsia="方正仿宋_GBK" w:cs="Times New Roman"/>
          <w:color w:val="000000" w:themeColor="text1"/>
          <w:spacing w:val="0"/>
          <w:sz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库坝连通工程。</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到2025年，全市高标准农田建设比例达到55%以上，</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农田灌溉水有效利用系数达到0.</w:t>
      </w:r>
      <w:r>
        <w:rPr>
          <w:rFonts w:hint="default" w:ascii="Times New Roman" w:hAnsi="Times New Roman" w:eastAsia="方正仿宋_GBK" w:cs="Times New Roman"/>
          <w:color w:val="000000" w:themeColor="text1"/>
          <w:spacing w:val="0"/>
          <w:sz w:val="32"/>
          <w:highlight w:val="none"/>
          <w:lang w:eastAsia="zh-CN"/>
          <w14:textFill>
            <w14:solidFill>
              <w14:schemeClr w14:val="tx1"/>
            </w14:solidFill>
          </w14:textFill>
        </w:rPr>
        <w:t>6</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，高效节水灌溉面积达到</w:t>
      </w:r>
      <w:r>
        <w:rPr>
          <w:rFonts w:hint="default" w:ascii="Times New Roman" w:hAnsi="Times New Roman" w:eastAsia="方正仿宋_GBK" w:cs="Times New Roman"/>
          <w:color w:val="000000" w:themeColor="text1"/>
          <w:spacing w:val="0"/>
          <w:sz w:val="32"/>
          <w:highlight w:val="none"/>
          <w:lang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50</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万亩以上。加大新型农业机械推广力度，构建全程机械化技术体系。到202</w:t>
      </w:r>
      <w:r>
        <w:rPr>
          <w:rFonts w:hint="default" w:ascii="Times New Roman" w:hAnsi="Times New Roman" w:eastAsia="方正仿宋_GBK" w:cs="Times New Roman"/>
          <w:color w:val="000000" w:themeColor="text1"/>
          <w:spacing w:val="0"/>
          <w:sz w:val="32"/>
          <w:highlight w:val="none"/>
          <w:lang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年，全市主要农作物耕种收综合机械化水平达到</w:t>
      </w:r>
      <w:r>
        <w:rPr>
          <w:rFonts w:hint="default" w:ascii="Times New Roman" w:hAnsi="Times New Roman" w:eastAsia="方正仿宋_GBK" w:cs="Times New Roman"/>
          <w:color w:val="000000" w:themeColor="text1"/>
          <w:spacing w:val="0"/>
          <w:sz w:val="32"/>
          <w:highlight w:val="none"/>
          <w:lang w:eastAsia="zh-CN"/>
          <w14:textFill>
            <w14:solidFill>
              <w14:schemeClr w14:val="tx1"/>
            </w14:solidFill>
          </w14:textFill>
        </w:rPr>
        <w:t>8</w:t>
      </w:r>
      <w:r>
        <w:rPr>
          <w:rFonts w:hint="default" w:ascii="Times New Roman" w:hAnsi="Times New Roman" w:eastAsia="方正仿宋_GBK" w:cs="Times New Roman"/>
          <w:color w:val="000000" w:themeColor="text1"/>
          <w:spacing w:val="0"/>
          <w:sz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sz w:val="32"/>
          <w:highlight w:val="none"/>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加快推动农业绿色发展。</w:t>
      </w:r>
      <w:r>
        <w:rPr>
          <w:rFonts w:hint="default" w:ascii="Times New Roman" w:hAnsi="Times New Roman" w:eastAsia="方正仿宋_GBK" w:cs="Times New Roman"/>
          <w:color w:val="000000" w:themeColor="text1"/>
          <w:sz w:val="32"/>
          <w:highlight w:val="none"/>
          <w14:textFill>
            <w14:solidFill>
              <w14:schemeClr w14:val="tx1"/>
            </w14:solidFill>
          </w14:textFill>
        </w:rPr>
        <w:t>加强农业绿色发展先行区建设，持续推进农业面源污染治理，实施化肥农药</w:t>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highlight w:val="none"/>
          <w14:textFill>
            <w14:solidFill>
              <w14:schemeClr w14:val="tx1"/>
            </w14:solidFill>
          </w14:textFill>
        </w:rPr>
        <w:t>减量增效</w:t>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highlight w:val="none"/>
          <w14:textFill>
            <w14:solidFill>
              <w14:schemeClr w14:val="tx1"/>
            </w14:solidFill>
          </w14:textFill>
        </w:rPr>
        <w:t>行动，</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加强</w:t>
      </w:r>
      <w:r>
        <w:rPr>
          <w:rFonts w:hint="default" w:ascii="Times New Roman" w:hAnsi="Times New Roman" w:eastAsia="方正仿宋_GBK" w:cs="Times New Roman"/>
          <w:color w:val="000000" w:themeColor="text1"/>
          <w:sz w:val="32"/>
          <w:highlight w:val="none"/>
          <w14:textFill>
            <w14:solidFill>
              <w14:schemeClr w14:val="tx1"/>
            </w14:solidFill>
          </w14:textFill>
        </w:rPr>
        <w:t>畜禽粪污、农作物秸秆和农残膜资源化利用</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highlight w:val="none"/>
          <w14:textFill>
            <w14:solidFill>
              <w14:schemeClr w14:val="tx1"/>
            </w14:solidFill>
          </w14:textFill>
        </w:rPr>
        <w:t>病死畜禽无害化处理。完善动物防疫体系，健全病死畜禽无害化收集处理</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机制</w:t>
      </w:r>
      <w:r>
        <w:rPr>
          <w:rFonts w:hint="default" w:ascii="Times New Roman" w:hAnsi="Times New Roman" w:eastAsia="方正仿宋_GBK" w:cs="Times New Roman"/>
          <w:color w:val="000000" w:themeColor="text1"/>
          <w:sz w:val="32"/>
          <w:highlight w:val="none"/>
          <w14:textFill>
            <w14:solidFill>
              <w14:schemeClr w14:val="tx1"/>
            </w14:solidFill>
          </w14:textFill>
        </w:rPr>
        <w:t>，保障畜牧业健康发展。到2025年，农药化肥利用率提高到43%以上，畜禽粪污资源综合处理利用率达到95%以上；秸秆综合</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利用率</w:t>
      </w:r>
      <w:r>
        <w:rPr>
          <w:rFonts w:hint="default" w:ascii="Times New Roman" w:hAnsi="Times New Roman" w:eastAsia="方正仿宋_GBK" w:cs="Times New Roman"/>
          <w:color w:val="000000" w:themeColor="text1"/>
          <w:sz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highlight w:val="none"/>
          <w14:textFill>
            <w14:solidFill>
              <w14:schemeClr w14:val="tx1"/>
            </w14:solidFill>
          </w14:textFill>
        </w:rPr>
        <w:t>农膜回收利用率</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均</w:t>
      </w:r>
      <w:r>
        <w:rPr>
          <w:rFonts w:hint="default" w:ascii="Times New Roman" w:hAnsi="Times New Roman" w:eastAsia="方正仿宋_GBK" w:cs="Times New Roman"/>
          <w:color w:val="000000" w:themeColor="text1"/>
          <w:sz w:val="32"/>
          <w:highlight w:val="none"/>
          <w14:textFill>
            <w14:solidFill>
              <w14:schemeClr w14:val="tx1"/>
            </w14:solidFill>
          </w14:textFill>
        </w:rPr>
        <w:t>达到90%以上。</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17" w:name="_Toc5958"/>
      <w:bookmarkStart w:id="118" w:name="_Toc8871"/>
      <w:r>
        <w:rPr>
          <w:rFonts w:hint="default" w:ascii="Times New Roman" w:hAnsi="Times New Roman" w:cs="Times New Roman"/>
          <w:color w:val="000000" w:themeColor="text1"/>
          <w:highlight w:val="none"/>
          <w:lang w:val="en-US" w:eastAsia="zh-CN"/>
          <w14:textFill>
            <w14:solidFill>
              <w14:schemeClr w14:val="tx1"/>
            </w14:solidFill>
          </w14:textFill>
        </w:rPr>
        <w:t>三、构建现代农业经营体系</w:t>
      </w:r>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壮大新型农业经营主体。</w:t>
      </w:r>
      <w:r>
        <w:rPr>
          <w:rFonts w:hint="default" w:ascii="Times New Roman" w:hAnsi="Times New Roman" w:eastAsia="方正仿宋_GBK" w:cs="Times New Roman"/>
          <w:color w:val="000000" w:themeColor="text1"/>
          <w:highlight w:val="none"/>
          <w14:textFill>
            <w14:solidFill>
              <w14:schemeClr w14:val="tx1"/>
            </w14:solidFill>
          </w14:textFill>
        </w:rPr>
        <w:t>围绕特色优势产业引进培育龙头企业，充分发挥伊利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乳业</w:t>
      </w:r>
      <w:r>
        <w:rPr>
          <w:rFonts w:hint="default" w:ascii="Times New Roman" w:hAnsi="Times New Roman" w:eastAsia="方正仿宋_GBK" w:cs="Times New Roman"/>
          <w:color w:val="000000" w:themeColor="text1"/>
          <w:highlight w:val="none"/>
          <w14:textFill>
            <w14:solidFill>
              <w14:schemeClr w14:val="tx1"/>
            </w14:solidFill>
          </w14:textFill>
        </w:rPr>
        <w:t>、西鸽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酒庄</w:t>
      </w:r>
      <w:r>
        <w:rPr>
          <w:rFonts w:hint="default" w:ascii="Times New Roman" w:hAnsi="Times New Roman" w:eastAsia="方正仿宋_GBK" w:cs="Times New Roman"/>
          <w:color w:val="000000" w:themeColor="text1"/>
          <w:highlight w:val="none"/>
          <w14:textFill>
            <w14:solidFill>
              <w14:schemeClr w14:val="tx1"/>
            </w14:solidFill>
          </w14:textFill>
        </w:rPr>
        <w:t>示范</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带动</w:t>
      </w:r>
      <w:r>
        <w:rPr>
          <w:rFonts w:hint="default" w:ascii="Times New Roman" w:hAnsi="Times New Roman" w:eastAsia="方正仿宋_GBK" w:cs="Times New Roman"/>
          <w:color w:val="000000" w:themeColor="text1"/>
          <w:highlight w:val="none"/>
          <w14:textFill>
            <w14:solidFill>
              <w14:schemeClr w14:val="tx1"/>
            </w14:solidFill>
          </w14:textFill>
        </w:rPr>
        <w:t>作用，落实龙头企业扶持政策，推进集群集聚发展。坚持家庭</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经营</w:t>
      </w:r>
      <w:r>
        <w:rPr>
          <w:rFonts w:hint="default" w:ascii="Times New Roman" w:hAnsi="Times New Roman" w:eastAsia="方正仿宋_GBK" w:cs="Times New Roman"/>
          <w:color w:val="000000" w:themeColor="text1"/>
          <w:highlight w:val="none"/>
          <w14:textFill>
            <w14:solidFill>
              <w14:schemeClr w14:val="tx1"/>
            </w14:solidFill>
          </w14:textFill>
        </w:rPr>
        <w:t>的基础性地位，鼓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励发展龙头企业带动，农民合作社、家庭农场、专业大户等新型经营主体分工协作、利益联结的产业联合体。到2025年，培育市级以上农业产业化龙头企业260家，合作社202家，农业产业化联合体（联盟）30个，规模化社会服务组织达到40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提升特色农产品竞争力。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特色优质农产品品牌工程，创建奶牛、葡萄酒、黄花菜等特色农产品优势区。组织龙头企业、合作社参加区内外各类展示展销会，支持特色农产品入驻宁夏优质农产品展示展销中心销售，鼓励农产品生产企业、农资批发市场电商交易，推进线上线下融合，让吴忠更多特色农产品走出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健全农业社会化服务体系。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政府购买农业公益性服务机制创新，鼓励科研机构、行业协会、龙头企业和具有资质的经营性服务组织从事农业公益性服务。支持经营性服务组织为农民提供土地托管、代耕代种、代销代购、储藏保鲜等全程产前、产中、产后社会化服务。提升农业保险服务能力，扩大保险覆盖面。加大重点区域、重要农事季节的抗旱、防雹作业力度，强化动态监测和区域联防，减轻灾害损失。</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cs="Times New Roman"/>
          <w:lang w:val="en-US"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eastAsia="zh-CN"/>
                <w14:textFill>
                  <w14:solidFill>
                    <w14:schemeClr w14:val="tx1"/>
                  </w14:solidFill>
                </w14:textFill>
              </w:rPr>
              <w:t>现代农业</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1.农业设施装备强化项目：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高标准农田建设项目；青铜峡市调整结构高效农业建设项目；青铜峡市规模化养殖场物联网项目；盐池县旱作节水技术示范推广项目；同心县扬黄灌区节水改造工程项目。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2.特色产业提升项目：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奶产业，</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国家农业科技园区鸽堂沟奶牛养殖区建设项目；奶牛繁育中心建设项目；奶牛养殖场布病、结核病净化试点；性控冻精、胚胎移植、良种繁育项目；吴忠市利通区五里坡奶牛生态养殖基地四期建设项目；青铜峡市牛首山北麓奶牛核心养殖区建设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滩羊肉牛产业，</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西北农林科技大学宁夏滩羊试验示范场建设项目；伊赛集团10万头肉牛、100万只滩羊屠宰加工项目；肉牛、滩羊示范村建设项目；五里坡肉牛养殖基地项目；红寺堡区肉牛、滩羊规模化养殖园区建设项目；同心县、红寺堡区肉牛养殖场建设项目；盐池县滩羊保种与扩繁基地项目；盐池县滩羊产业融合发展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酿酒葡萄产业，</w:t>
            </w:r>
            <w:r>
              <w:rPr>
                <w:rFonts w:hint="default" w:ascii="Times New Roman" w:hAnsi="Times New Roman" w:cs="Times New Roman"/>
                <w:color w:val="000000" w:themeColor="text1"/>
                <w:sz w:val="26"/>
                <w:szCs w:val="26"/>
                <w:highlight w:val="none"/>
                <w14:textFill>
                  <w14:solidFill>
                    <w14:schemeClr w14:val="tx1"/>
                  </w14:solidFill>
                </w14:textFill>
              </w:rPr>
              <w:t>贺兰山东麓酿酒葡萄黄金产区提质增效项目；红寺堡区环罗山酿酒葡萄基地建设项目；青铜峡市葡萄酒庄建设项目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鸽子山中法葡萄酒庄集群示范区基地建设项目；同心县罗山东麓葡萄产业园项目。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黄花菜产业，</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红寺堡区黄花菜高标准示范基地建设项目；盐池县黄花菜绿色标准化体系建设项目。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14:textFill>
                  <w14:solidFill>
                    <w14:schemeClr w14:val="tx1"/>
                  </w14:solidFill>
                </w14:textFill>
              </w:rPr>
              <w:t>枸杞产业</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同心县、红寺堡区</w:t>
            </w:r>
            <w:r>
              <w:rPr>
                <w:rFonts w:hint="default" w:ascii="Times New Roman" w:hAnsi="Times New Roman" w:cs="Times New Roman"/>
                <w:color w:val="000000" w:themeColor="text1"/>
                <w:sz w:val="26"/>
                <w:szCs w:val="26"/>
                <w:highlight w:val="none"/>
                <w14:textFill>
                  <w14:solidFill>
                    <w14:schemeClr w14:val="tx1"/>
                  </w14:solidFill>
                </w14:textFill>
              </w:rPr>
              <w:t>枸杞标准化基地项目；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同心县枸</w:t>
            </w:r>
            <w:r>
              <w:rPr>
                <w:rFonts w:hint="default" w:ascii="Times New Roman" w:hAnsi="Times New Roman" w:cs="Times New Roman"/>
                <w:color w:val="000000" w:themeColor="text1"/>
                <w:sz w:val="26"/>
                <w:szCs w:val="26"/>
                <w:highlight w:val="none"/>
                <w14:textFill>
                  <w14:solidFill>
                    <w14:schemeClr w14:val="tx1"/>
                  </w14:solidFill>
                </w14:textFill>
              </w:rPr>
              <w:t>杞绿色防控</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工程</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3.现代农业园区建设项目：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利通区五里坡奶牛养殖现代农业产业园项目；红寺堡区现代农业产业园项目；青铜峡市马长滩现代农业示范园项目；盐池县国家现代农业产业园项目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b/>
                <w:bCs/>
                <w:color w:val="000000" w:themeColor="text1"/>
                <w:kern w:val="2"/>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4.一二三产业融合项目：</w:t>
            </w:r>
            <w:r>
              <w:rPr>
                <w:rFonts w:hint="default" w:ascii="Times New Roman" w:hAnsi="Times New Roman" w:cs="Times New Roman"/>
                <w:color w:val="000000" w:themeColor="text1"/>
                <w:sz w:val="26"/>
                <w:szCs w:val="26"/>
                <w:highlight w:val="none"/>
                <w14:textFill>
                  <w14:solidFill>
                    <w14:schemeClr w14:val="tx1"/>
                  </w14:solidFill>
                </w14:textFill>
              </w:rPr>
              <w:t>利通区绿色食品产业融合发展示范项目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五里坡肉牛养殖基地产业融合发展项目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红寺堡区一二三产业融合发展项目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红寺堡区葡萄生态小镇项目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青铜峡市鸽子山葡萄酒文化小镇项目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同心县休闲农业与乡村旅游示范基地建设项目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tc>
      </w:tr>
      <w:bookmarkEnd w:id="110"/>
      <w:bookmarkEnd w:id="111"/>
      <w:bookmarkEnd w:id="112"/>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19" w:name="_Toc23092"/>
      <w:bookmarkStart w:id="120" w:name="_Toc13476"/>
      <w:bookmarkStart w:id="121" w:name="_Toc7571"/>
      <w:bookmarkStart w:id="122" w:name="_Toc11925"/>
      <w:bookmarkStart w:id="123" w:name="_Toc16072"/>
      <w:r>
        <w:rPr>
          <w:rFonts w:hint="default" w:ascii="Times New Roman" w:hAnsi="Times New Roman" w:eastAsia="方正黑体简体" w:cs="Times New Roman"/>
          <w:color w:val="000000"/>
          <w:spacing w:val="0"/>
          <w:sz w:val="32"/>
          <w:szCs w:val="32"/>
          <w:lang w:val="en-US" w:eastAsia="zh-CN"/>
        </w:rPr>
        <w:t>第四节  提速升级现代服务业</w:t>
      </w:r>
      <w:bookmarkEnd w:id="119"/>
      <w:bookmarkEnd w:id="120"/>
      <w:bookmarkEnd w:id="121"/>
      <w:bookmarkEnd w:id="122"/>
      <w:bookmarkEnd w:id="123"/>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创新服务业新供给，推动生产性服务业向专业化和价值链高端延伸、生活性服务业向高品质和多样化升级。到2025年，服务业增加值达到400亿元左右，</w:t>
      </w:r>
      <w:r>
        <w:rPr>
          <w:rFonts w:hint="default" w:ascii="Times New Roman" w:hAnsi="Times New Roman" w:eastAsia="方正仿宋_GBK" w:cs="Times New Roman"/>
          <w:color w:val="000000" w:themeColor="text1"/>
          <w:highlight w:val="none"/>
          <w14:textFill>
            <w14:solidFill>
              <w14:schemeClr w14:val="tx1"/>
            </w14:solidFill>
          </w14:textFill>
        </w:rPr>
        <w:t>年均增长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24" w:name="_Toc25522"/>
      <w:bookmarkStart w:id="125" w:name="_Toc12581"/>
      <w:bookmarkStart w:id="126" w:name="_Toc6714"/>
      <w:r>
        <w:rPr>
          <w:rFonts w:hint="default" w:ascii="Times New Roman" w:hAnsi="Times New Roman" w:cs="Times New Roman"/>
          <w:color w:val="000000" w:themeColor="text1"/>
          <w:highlight w:val="none"/>
          <w:lang w:val="en-US" w:eastAsia="zh-CN"/>
          <w14:textFill>
            <w14:solidFill>
              <w14:schemeClr w14:val="tx1"/>
            </w14:solidFill>
          </w14:textFill>
        </w:rPr>
        <w:t>一、大力发展生产性服务业</w:t>
      </w:r>
      <w:bookmarkEnd w:id="124"/>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现代物流。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完善联运功能，鼓励发展公铁联运、陆空联运。优化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基地型物流园区+专业化物流中心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现代物流体系。建设完善利通区商贸物流园，金积通用集散型物流园区，吴忠市运通物流园区，青铜峡盛隆达西部煤炭物流园、捷安公铁智慧物流园区，盐池德昌铁路物流园区、同心桃山综合物流园及太阳山综合物流园等物流基地。发展冷链物流、供应链物流和专业物流等物流业务，构建与制造业、农业和商贸流通业深度融合的现代供应链体系，持续降低物流成本，提升物流配送质效。创新城市配送模式和农村配送体系建设，实现城乡配送一体化。推进城市绿色配送示范市创建。提高物流信息的搜集、处理和服务能力，构筑现代化全程物流网络。到2025年，物流业营业收入达到140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电子商务。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深化国家级电子商务示范城市创建。推进电子商务深度融入实体经济，强化供应链管理服务。提升发展电子商务载体平台，大力支持中阿淘电子商务创业孵化示范基地、红寺堡区电商扶贫创业孵化园等本土平台企业整合资源，培育电商龙头企业。鼓励发展行业类专业性平台，着力培育网上商圈、区域性服务、名优特产品销售类特色化平台。优化升级农村电子商务，深入开展电子商务进农村综合示范，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农产品出村进城工程，推动形成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电商企业+基地+专业合作社+农户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一体化发展模式。到2025年，电子商务交易额突破160亿元。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现代金融。</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金融服务能力，引导新型金融机构提供融资服务，积极发展债券市场，推动股权投资基金发展，支持和引导具备条件的企业挂牌上市。培育金融专业中介机构，加快构建与金融市场发展相适应的第三方中介服务体系，积极推进小微企业金融服务中心、金融科技服务中心等服务平台建设，鼓励银行等金融机构设立科技支行、科技金融专营机构，开发科技成果转化融资产品。鼓励发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不见面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金融，依法防范处置非法集资，提高地方金融监管水平，引导金融机构强化线上服务能力和数字风控技术，提升网点服务线上化水平。完善金融风险防控机制，有效控制和化解重要领域金融风险，保障区域金融体系稳健运行。</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27" w:name="_Toc12253"/>
      <w:bookmarkStart w:id="128" w:name="_Toc4503"/>
      <w:bookmarkStart w:id="129" w:name="_Toc13204"/>
      <w:r>
        <w:rPr>
          <w:rFonts w:hint="default" w:ascii="Times New Roman" w:hAnsi="Times New Roman" w:cs="Times New Roman"/>
          <w:color w:val="000000" w:themeColor="text1"/>
          <w:highlight w:val="none"/>
          <w:lang w:val="en-US" w:eastAsia="zh-CN"/>
          <w14:textFill>
            <w14:solidFill>
              <w14:schemeClr w14:val="tx1"/>
            </w14:solidFill>
          </w14:textFill>
        </w:rPr>
        <w:t>二、完善提升生活性服务业</w:t>
      </w:r>
      <w:bookmarkEnd w:id="127"/>
      <w:bookmarkEnd w:id="128"/>
      <w:bookmarkEnd w:id="129"/>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现代商贸流通业。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优化网络布局、力促业态升级，发展大商</w:t>
      </w:r>
      <w:r>
        <w:rPr>
          <w:rFonts w:hint="default" w:ascii="Times New Roman" w:hAnsi="Times New Roman" w:eastAsia="方正仿宋_GBK" w:cs="Times New Roman"/>
          <w:color w:val="000000" w:themeColor="text1"/>
          <w:spacing w:val="-6"/>
          <w:highlight w:val="none"/>
          <w:lang w:val="en-US" w:eastAsia="zh-CN"/>
          <w14:textFill>
            <w14:solidFill>
              <w14:schemeClr w14:val="tx1"/>
            </w14:solidFill>
          </w14:textFill>
        </w:rPr>
        <w:t>贸、建设大市场、搞活大流通，建设沿黄城市群重要商贸节点城市。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加快培育特色餐饮品牌。</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以提升吴忠美食文化层次、带动餐饮业提质增效为着力点，制定行业规范和服务标准体系，支持成立菜品研发推广中心，持续提升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吃在吴忠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品质，依托牛家坊等特色美食集聚街区、夜经济街区，形成集聚效应。按照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政府引导、企业办会、市场运作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方式，争取中国烹饪协会支持，策划举办各项赛事、展会论坛等活动，创新宣传手段，持续扩大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吴忠早茶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吴忠名宴</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吴忠名菜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吴忠名点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等餐饮品牌市场影响力。</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加快升级批发零售业。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中心城区、县城区商圈及乡镇商业布局，差异化引导零售商业网点多层级发展，打造等级分明、功能互补的城乡消费中心，突出吴忠万达、新华百货示范引领，加大品牌连锁店覆盖度，促进商圈业态转型升级，积极开展体验式消费，打造一刻钟便民生活服务圈，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时尚消费全覆盖、区域商业有中心、街区商业显特色、便民利民社区行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，提升吴忠商业形象。规范管理各类专业市场、综合市场，提升配套服务能力。促进内外贸一体化，提升外贸企业对市域经济贡献率。</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文化旅游业。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持续开展全域旅游创建，实施文旅提质增效行动，努力把旅游业培育为促进我市经济社会发展的新兴战略性支柱产业。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构建</w:t>
      </w:r>
      <w:r>
        <w:rPr>
          <w:rStyle w:val="29"/>
          <w:rFonts w:hint="eastAsia" w:ascii="Times New Roman" w:hAnsi="Times New Roman" w:eastAsia="方正楷体_GBK"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一核三带</w:t>
      </w:r>
      <w:r>
        <w:rPr>
          <w:rStyle w:val="29"/>
          <w:rFonts w:hint="eastAsia" w:ascii="Times New Roman" w:hAnsi="Times New Roman" w:eastAsia="方正楷体_GBK" w:cs="Times New Roman"/>
          <w:color w:val="000000" w:themeColor="text1"/>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全域旅游发展格局。</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美食、康养、乡村、工业四大板块，打造利青同城核心区，重点建设黄河金岸文化旅游带、贺兰山东麓葡萄酒文化旅游带、盐同红历史文化景观旅游带。积极推进黄河大峡谷、黄河楼、盐州古城等争创国家5A级景区，带动A级景区增量提质，到2025年，力争每个县（市、区）有1-2个4A级景区，1家四星级饭店，创成国家全域旅游示范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推进文化旅游融合发展。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提升景区、度假区、乡村旅游点等旅游载体文化内涵，鼓励精品文艺节目进景区，促进旅游从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观景色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品文化·享生活</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发展。引导旅游与特色餐饮、工业观光、体育赛事等业态融合，发展夜间旅游和冬季旅游，加大文创和特色旅游商品开发，推出一批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吴忠好礼</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lang w:val="en-US" w:eastAsia="zh-CN"/>
          <w14:textFill>
            <w14:solidFill>
              <w14:schemeClr w14:val="tx1"/>
            </w14:solidFill>
          </w14:textFill>
        </w:rPr>
        <w:t>——</w:t>
      </w: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提升旅游服务质量。</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积极开展与国内主要旅游投资集团合作，提高景区整体运营能力，拓展景区二次消费项目。提升乡村旅游发展水平，每个县（市、区）培养2-3个乡村旅游示范点。加强文明旅游宣传引导，提升导游讲解、星级饭店、农家乐等服务水平。持续加大全媒体宣传力度，积极开展各类文化旅游推介活动，加强区域文化旅游交流合作。提升黄河金岸文化旅游节、特色美食文化旅游节和盐池航空嘉年华等特色节会活动影响力，积极申办世界航空航天模型锦标赛、动力伞锦标赛等国际性赛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康养服务业。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鼓励医疗机构将护理服务延伸至居民家庭，推动发展日常护理、康复护理、中医保健等领域服务。加强智慧健康养老服务平台建设，引导颐嘉祥老年公寓、镇海养老服务中心等专业机构应用先进的信息管理技术，鼓励开展养老服务教育培训、研究交流、咨询评估和第三方认证等服务，积极开发老龄人力资源，发展银发经济，打造康养示范基地。</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社区和家政服务业。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搭建智慧社区服务平台，打造集生活服务和社区治理于一体的社区生活管家。合理布局便民服务设施，丰富社区医疗、保洁、母婴护理等便民服务内容，提升物业管理、安保、快递配送等规范化、标准化水平。促进家政服务业企业专业化、职业化发展，发展员工制家政企业。加强家政服务价格规范化，开展质量认证评价，建设信用体系，推动成立行业协会，逐步建立行业标准体系。</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房地产业。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坚持房子是用来住的、不是用来炒的定位，落实城市主体责任，坚持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一城一策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监测，实行市场供需双向调节，规范发展中介行业，提升物业服务水平，促进房地产市场平稳健康发展。加快培育和发展住房租赁市场，有效增加保障性住房供应，完善住房市场体系和住房保障体系，满足各类群众住房需求。</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30" w:name="_Toc9517"/>
      <w:bookmarkStart w:id="131" w:name="_Toc29410"/>
      <w:r>
        <w:rPr>
          <w:rFonts w:hint="default" w:ascii="Times New Roman" w:hAnsi="Times New Roman" w:cs="Times New Roman"/>
          <w:color w:val="000000" w:themeColor="text1"/>
          <w:highlight w:val="none"/>
          <w:lang w:val="en-US" w:eastAsia="zh-CN"/>
          <w14:textFill>
            <w14:solidFill>
              <w14:schemeClr w14:val="tx1"/>
            </w14:solidFill>
          </w14:textFill>
        </w:rPr>
        <w:t>三、积极拓展新兴服务业</w:t>
      </w:r>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信息服务业。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颐高吴忠新经济产业发展中心建设，丰富企业办公、休闲服务、商业配套等服务内容。加强与相关通信企业合作，紧盯第五代移动通信商用机遇，推动5G网络连续覆盖和室内场景深度覆盖，加快电网、气网等智能化改造，积极推动5G在教育、医疗、农业等领域的应用。在公共区域推广免费高速无线局域网。部署下一代广播电视网，推进有线电视网络智能化升级改造，推动数字电视与互联网融合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人力资源服务业。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设立人力资源服务产业基金，鼓励社会资本投资人力资源服务业。采取税费减免、房租补贴、小微企业扶持等政策措施，帮助人力资源服务企业做大做强。通过政府购买人力资源服务的方式助力小微企业发展，提升小微企业人力资源管理水平。到2025年，全市人力资源服务业从业人员达到2500人，产业规模超过3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其他新兴服务业。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面向制造业企业发展需求，大力发展研发设计、商务咨询、风光电设备运营维护等服务业新业态，延伸发展监测认证、知识产权、技术成果转移等制造业配套服务业，建立一批产品检测、测试及认证中心，培育第三方服务业企业。加快吴忠新经济产业发展中心等新兴产业基地建设。发展柔性化个性化定制，支持龙头企业加快建设网络化开放式个性化定制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cs="Times New Roman"/>
          <w:b w:val="0"/>
          <w:bCs w:val="0"/>
          <w:color w:val="000000" w:themeColor="text1"/>
          <w:highlight w:val="none"/>
          <w:lang w:val="en-US" w:eastAsia="zh-CN"/>
          <w14:textFill>
            <w14:solidFill>
              <w14:schemeClr w14:val="tx1"/>
            </w14:solidFill>
          </w14:textFill>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现代服务业</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1.生产性服务业项目：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德昌铁路物流中心二期项目；盛隆达公司西部煤炭物流综合贸易中心项目；利通区金积镇智慧三农冷链物流园建设项目；吴忠市综合批发市场改造项目；宁夏辰川（红寺堡）公铁联运智能港项目；青铜峡市电子商务进农村示范提升项目；青铜峡市物流数据中心建设项目；盐池汪水塘物流项目；中国西部（红寺堡）物流园项目；同心县冷链物流中心建设项目；同心县电子商务仓储物流集散中心项目；桃山物流集散基地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2.生活性服务业项目：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黄河文化主题公园项目；长城国家文化主题公园项目；吴忠长征国家文化公园保护开发项目；黄河大峡谷旅游区、盐州古城创建国家5A级旅游景区改造提升项目；引黄古灌区世界灌溉工程遗址公园项目；牛首山旅游开发基础设施项目；哈巴湖景区升级改造项目；盐湖小镇项目；黄谷川健康运动特色小镇项目；吴忠高铁站旅游集散中心项目；吴忠自驾风景道项目；黎明商业综合体建设项目；红星美凯龙商业大卖场项目；吴忠高铁片区房地产开发项目；利通区牛家坊民俗文化村现代服务业集聚区建设项目；金积镇</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金康苑</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智慧社区建设项目；红寺堡区鹏胜时代广场特色街区（美食街、步行街）项目；红寺堡区房地产项目；东方园林盐池县全域旅游和国家康养区项目；同心新区商城项目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3.新兴服务业项目：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吴忠新经济产业发展中心建设项目；利通区、青铜峡市、红寺堡区、盐池县、同心县5G通讯设施建设项目；县城、乡镇管网信息化及智慧管理项目。</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32" w:name="_Toc30982"/>
      <w:r>
        <w:rPr>
          <w:rFonts w:hint="default" w:ascii="Times New Roman" w:hAnsi="Times New Roman" w:eastAsia="方正黑体简体" w:cs="Times New Roman"/>
          <w:color w:val="000000"/>
          <w:spacing w:val="0"/>
          <w:sz w:val="32"/>
          <w:szCs w:val="32"/>
          <w:lang w:val="en-US" w:eastAsia="zh-CN"/>
        </w:rPr>
        <w:t>第五节  加快推进数字化发展</w:t>
      </w:r>
      <w:bookmarkEnd w:id="132"/>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实施数字经济战略，推进数字产业化和产业数字化，加快经济社会数字化转型，建设数字吴忠。</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33" w:name="_Toc19208"/>
      <w:bookmarkStart w:id="134" w:name="_Toc24154"/>
      <w:r>
        <w:rPr>
          <w:rFonts w:hint="default" w:ascii="Times New Roman" w:hAnsi="Times New Roman" w:cs="Times New Roman"/>
          <w:color w:val="000000" w:themeColor="text1"/>
          <w:highlight w:val="none"/>
          <w:lang w:val="en-US" w:eastAsia="zh-CN"/>
          <w14:textFill>
            <w14:solidFill>
              <w14:schemeClr w14:val="tx1"/>
            </w14:solidFill>
          </w14:textFill>
        </w:rPr>
        <w:t>一、推动产业数字化转型</w:t>
      </w:r>
      <w:bookmarkEnd w:id="133"/>
      <w:bookmarkEnd w:id="13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加大制造业智能化改造。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互联网+制造业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推动装备制造、生物医药、精细化工等重点行业实施智能改造，引导企业开展设备换芯、生产换线、机器换人，实现生产状态可视化、装置操作系统化、管理控制自动化、应急指挥实时化、基础设施集成化。到2025年，培育新增自治区智能工厂10家，数字化车间15个，高新技术产业开发区争创国家数字化示范园区，建设吴忠市工业园区一张图和工业园区数据分析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加快智慧农业建设。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物联网、大数据、智能装备等现代信息技术与农业优势特色产业深度融合应用，争取农业产业园、龙头企业、新型经营主体大数据应用试点。围绕设施农业、农机作业、节水灌溉、测土配方施肥、病虫害监测等领域，重点在奶产业、葡萄酒产业推行物联网应用，开展产业发展预警监测和行业经济分析，提升农业作业和服务智能化水平。加快推进数字乡村试点建设。到2025年，建成1个数字农业示范县（区），50个大数据标准园（场）示范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促进服务业数字化提升。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拓展数字技术与生产性服务业融合应用，加快仓储物流、现代金融、科技咨询等领域数字化建设，推动信息技术与全域旅游、健康养老、文体娱乐、商业贸易、家政服务等融合发展，促进服务产品数字化、个性化、多样化。依托新经济产业发展中心、宁优汇和展示展销中心，推广</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区域产业集群+电子商务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模式，促进线上线下资源的有效整合和利用。到2025年，力争实现网络零售额60亿元以上，提高服务便利化、智能化水平。</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35" w:name="_Toc13231"/>
      <w:bookmarkStart w:id="136" w:name="_Toc23500"/>
      <w:r>
        <w:rPr>
          <w:rFonts w:hint="default" w:ascii="Times New Roman" w:hAnsi="Times New Roman" w:cs="Times New Roman"/>
          <w:color w:val="000000" w:themeColor="text1"/>
          <w:highlight w:val="none"/>
          <w:lang w:val="en-US" w:eastAsia="zh-CN"/>
          <w14:textFill>
            <w14:solidFill>
              <w14:schemeClr w14:val="tx1"/>
            </w14:solidFill>
          </w14:textFill>
        </w:rPr>
        <w:t>二、推进数字产业化发展</w:t>
      </w:r>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加快发展工业互联网。</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宁夏工业互联网标识解析体系二级节点和应用平台建设，制定标识解析编码规则，推进工业互联网标识解析产业化创新应用。发挥自治区工业App补贴券引导作用，鼓励企业将信息基础设施、生产设备和应用系统等向云平台迁移，开展智能排产、供应链优化和设备远程运维等应用，降低企业数字化、智能化改造成本。拓展宁夏工业互联网安全态势感知平台应用领域，提升工业互联网安全保障能力。到2025年，接入二级节点企业数量突破400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创新发展大数据产业。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托吴忠市城市数据运营中心探索建设区域级大数据交易平台，引导企业开发利用城市数据资源，加快城市数据商业化运营。推动数据资源与税收、土地、信用体系等要素资源相结合，探索以数据资源为核心要素的招商引资、引才聚才新模式。完善城市基础信息资源库，加强在城市治理与民生服务领域的广泛应用，提升社会资源配置率。到2025年，培育和引进大数据、互联网相关企业35家以上，基本实现数据资源集聚共享和流通交易。</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37" w:name="_Toc32375"/>
      <w:bookmarkStart w:id="138" w:name="_Toc25420"/>
      <w:r>
        <w:rPr>
          <w:rFonts w:hint="default" w:ascii="Times New Roman" w:hAnsi="Times New Roman" w:cs="Times New Roman"/>
          <w:color w:val="000000" w:themeColor="text1"/>
          <w:highlight w:val="none"/>
          <w:lang w:val="en-US" w:eastAsia="zh-CN"/>
          <w14:textFill>
            <w14:solidFill>
              <w14:schemeClr w14:val="tx1"/>
            </w14:solidFill>
          </w14:textFill>
        </w:rPr>
        <w:t>三、提升数字化治理水平</w:t>
      </w:r>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提高数字政府服务效能。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互联网+政务服务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，建设政务数据开放标准体系，构建便捷智能的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易办·吴优</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政务服务信息化平台。依托宁夏政务云和吴忠市数据共享交换平台，完善市县乡村四级互联互通的政务信息资源共享交换系统，实现各级政府及其部门全覆盖。广泛应用数字证书、电子签章等技术，推广全程无纸化政务服务。强化市场监管、生态环保、食品安全、公共安全等领域数字化应用和安全风险防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推进新型智慧城市建设。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完善城市感知网络部署，构建方便快捷、公平普惠、优质高效的数字化公共服务体系。实施场景应用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十百千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工程，推进应用项目持续运维和迭代升级，深化安全管控、交通治理及城市管理。强化关键信息基础设施防护，全面提高网络治理能力。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eastAsia="zh-CN"/>
                <w14:textFill>
                  <w14:solidFill>
                    <w14:schemeClr w14:val="tx1"/>
                  </w14:solidFill>
                </w14:textFill>
              </w:rPr>
              <w:t>数字经济智慧产业</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1.制造业智能改造项目：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众虎科技年产5万套本质安全型防爆智能视频监控分析系统研发；申威信息安全产业化项目；红寺堡区新能源集维中心建设项</w:t>
            </w:r>
            <w:r>
              <w:rPr>
                <w:rFonts w:hint="default" w:ascii="Times New Roman" w:hAnsi="Times New Roman" w:cs="Times New Roman"/>
                <w:color w:val="000000" w:themeColor="text1"/>
                <w:spacing w:val="-6"/>
                <w:sz w:val="26"/>
                <w:szCs w:val="26"/>
                <w:highlight w:val="none"/>
                <w:lang w:val="en-US" w:eastAsia="zh-CN"/>
                <w14:textFill>
                  <w14:solidFill>
                    <w14:schemeClr w14:val="tx1"/>
                  </w14:solidFill>
                </w14:textFill>
              </w:rPr>
              <w:t>目；青铜峡市职业教育中心工业机器人应用智能焊接技术产教融合实训基地项目。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w:t>
            </w:r>
            <w:r>
              <w:rPr>
                <w:rFonts w:hint="eastAsia"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b/>
                <w:bCs/>
                <w:color w:val="000000" w:themeColor="text1"/>
                <w:sz w:val="26"/>
                <w:szCs w:val="26"/>
                <w:highlight w:val="none"/>
                <w14:textFill>
                  <w14:solidFill>
                    <w14:schemeClr w14:val="tx1"/>
                  </w14:solidFill>
                </w14:textFill>
              </w:rPr>
              <w:t>互联网+现代农业</w:t>
            </w:r>
            <w:r>
              <w:rPr>
                <w:rFonts w:hint="eastAsia"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b/>
                <w:bCs/>
                <w:color w:val="000000" w:themeColor="text1"/>
                <w:sz w:val="26"/>
                <w:szCs w:val="26"/>
                <w:highlight w:val="none"/>
                <w14:textFill>
                  <w14:solidFill>
                    <w14:schemeClr w14:val="tx1"/>
                  </w14:solidFill>
                </w14:textFill>
              </w:rPr>
              <w:t>产业链数据建设项目：</w:t>
            </w:r>
            <w:r>
              <w:rPr>
                <w:rFonts w:hint="default" w:ascii="Times New Roman" w:hAnsi="Times New Roman" w:cs="Times New Roman"/>
                <w:color w:val="000000" w:themeColor="text1"/>
                <w:sz w:val="26"/>
                <w:szCs w:val="26"/>
                <w:highlight w:val="none"/>
                <w14:textFill>
                  <w14:solidFill>
                    <w14:schemeClr w14:val="tx1"/>
                  </w14:solidFill>
                </w14:textFill>
              </w:rPr>
              <w:t>智慧农业建设项目；宁夏新大众机械智能全混合日粮机数字化生产线项目；利通区五里坡奶牛基地数字牧场建设项目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14:textFill>
                  <w14:solidFill>
                    <w14:schemeClr w14:val="tx1"/>
                  </w14:solidFill>
                </w14:textFill>
              </w:rPr>
              <w:t>红寺堡区互联网+现代农业产业链数据建设项目；青铜峡市设施农业智能物联网系统应用推广；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青铜峡酿酒葡萄智能化管理项目</w:t>
            </w:r>
            <w:r>
              <w:rPr>
                <w:rFonts w:hint="default" w:ascii="Times New Roman" w:hAnsi="Times New Roman" w:cs="Times New Roman"/>
                <w:color w:val="000000" w:themeColor="text1"/>
                <w:sz w:val="26"/>
                <w:szCs w:val="26"/>
                <w:highlight w:val="none"/>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6"/>
                <w:szCs w:val="26"/>
                <w:highlight w:val="none"/>
                <w14:textFill>
                  <w14:solidFill>
                    <w14:schemeClr w14:val="tx1"/>
                  </w14:solidFill>
                </w14:textFill>
              </w:rPr>
              <w:t>智慧园区工业物联网云平台建设项目</w:t>
            </w:r>
            <w:r>
              <w:rPr>
                <w:rFonts w:hint="default" w:ascii="Times New Roman" w:hAnsi="Times New Roman" w:cs="Times New Roman"/>
                <w:b/>
                <w:bCs/>
                <w:color w:val="000000" w:themeColor="text1"/>
                <w:sz w:val="26"/>
                <w:szCs w:val="26"/>
                <w:highlight w:val="none"/>
                <w:lang w:eastAsia="zh-CN"/>
                <w14:textFill>
                  <w14:solidFill>
                    <w14:schemeClr w14:val="tx1"/>
                  </w14:solidFill>
                </w14:textFill>
              </w:rPr>
              <w:t>：</w:t>
            </w:r>
            <w:r>
              <w:rPr>
                <w:rFonts w:hint="default" w:ascii="Times New Roman" w:hAnsi="Times New Roman" w:cs="Times New Roman"/>
                <w:color w:val="000000" w:themeColor="text1"/>
                <w:sz w:val="26"/>
                <w:szCs w:val="26"/>
                <w:highlight w:val="none"/>
                <w:lang w:eastAsia="zh-CN"/>
                <w14:textFill>
                  <w14:solidFill>
                    <w14:schemeClr w14:val="tx1"/>
                  </w14:solidFill>
                </w14:textFill>
              </w:rPr>
              <w:t>吴忠太阳山开发区智慧园区建设项目；高新区智慧园区项目；高新区科技信息综合服务平台；金积工业园区智能型柔性制造单元项目；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青铜峡智慧园区项目</w:t>
            </w:r>
            <w:r>
              <w:rPr>
                <w:rFonts w:hint="default" w:ascii="Times New Roman" w:hAnsi="Times New Roman" w:cs="Times New Roman"/>
                <w:color w:val="000000" w:themeColor="text1"/>
                <w:sz w:val="26"/>
                <w:szCs w:val="26"/>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4.智慧文旅项目：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吴忠市智慧文旅项目；</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吴忠记忆</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黄河文化数字非遗展示传承项目；吴忠市博物馆数字化建设项目；吴忠市新闻传媒中心智慧媒体项目；利通区图书馆数字馆建设项目；红寺堡区文化馆数字化总分馆制项目；青铜峡旅游集散中心数字化建设项目；盐池智慧旅游二期建设项目；同心县博物馆数字化建设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5.数字政府建设项目：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互联网标识解析二级节点赋能平台建设项目；宁夏工业互联网标识解析应用创新中心建设项目；吴忠高新区5G应用产业链项目；盐池县公安局信息化建设项目；盐池县公安局社会治安防控建设项目（一期）；同心县智慧化警务室建设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val="0"/>
                <w:bCs w:val="0"/>
                <w:strike w:val="0"/>
                <w:dstrike w:val="0"/>
                <w:color w:val="000000" w:themeColor="text1"/>
                <w:spacing w:val="-6"/>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6.智慧城市建设项目：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城市三维GIS项目；市区城市地下管线普查与信息系统建设工程；城市安全物联网管理平台建设项目；城市物联网智能仪表井系列产品项目；利通区智慧旅游数据中心建设项目；智慧利通、智慧同心建设工程；红寺堡城区管网漏损控制信息化建设项目；盐池县</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互联网+城乡供水</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工程。</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139" w:name="_Toc19295"/>
      <w:r>
        <w:rPr>
          <w:rFonts w:hint="default" w:ascii="Times New Roman" w:hAnsi="Times New Roman" w:eastAsia="方正黑体简体" w:cs="Times New Roman"/>
          <w:color w:val="000000"/>
          <w:spacing w:val="0"/>
          <w:sz w:val="32"/>
          <w:szCs w:val="32"/>
          <w:lang w:val="en-US" w:eastAsia="zh-CN"/>
        </w:rPr>
        <w:t>第六节  主动融入新发展格局</w:t>
      </w:r>
      <w:bookmarkEnd w:id="13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把实施扩大内需战略同深化供给侧结构性改革有机结合起来，</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增强产业链供应链稳定性和竞争力，着力打造新增长极，释放内需潜能，积极用好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两个市场、两种资源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，主动融入以国内大循环为主体、国际国内双循环相互促进的新发展格局</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40" w:name="_Toc31453"/>
      <w:r>
        <w:rPr>
          <w:rFonts w:hint="default" w:ascii="Times New Roman" w:hAnsi="Times New Roman" w:cs="Times New Roman"/>
          <w:color w:val="000000" w:themeColor="text1"/>
          <w:highlight w:val="none"/>
          <w:lang w:val="en-US" w:eastAsia="zh-CN"/>
          <w14:textFill>
            <w14:solidFill>
              <w14:schemeClr w14:val="tx1"/>
            </w14:solidFill>
          </w14:textFill>
        </w:rPr>
        <w:t>一、深度融入全国统一市场</w:t>
      </w:r>
      <w:bookmarkEnd w:id="14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发挥吴忠比较优势，优化提升供给结构，促进特色农业、制造业、服务业、能源资源等产业协调发展，实施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引资强链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引资补链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引资扩链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打通生产、分配、流通、消费各环节，推动产业链、创新链、价值链与全国大市场全方位对接，提升供给体系对国内需求的适配性。提高产品和服务竞争力，建立健全产品全生命周期质量追溯机制，引导企业加强生产全过程质量控制。实施品牌培育工程，加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宁夏老字号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吴忠老字号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品牌传承保护，强化盐池滩羊等区域公用品牌，中国亚麻籽油之乡等地理标志品牌管理，鼓励行业协会、龙头企业加强品牌建设，开展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吴忠优质特色产品全国行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等推广活动，发展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宁优汇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等平台，提高吴忠产品市场知名度。</w:t>
      </w:r>
    </w:p>
    <w:p>
      <w:pPr>
        <w:pStyle w:val="4"/>
        <w:keepNext/>
        <w:keepLines/>
        <w:pageBreakBefore w:val="0"/>
        <w:widowControl w:val="0"/>
        <w:kinsoku/>
        <w:wordWrap/>
        <w:overflowPunct/>
        <w:topLinePunct w:val="0"/>
        <w:autoSpaceDE/>
        <w:autoSpaceDN/>
        <w:bidi w:val="0"/>
        <w:adjustRightInd/>
        <w:snapToGrid/>
        <w:spacing w:before="60" w:after="60" w:line="56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41" w:name="_Toc24072"/>
      <w:bookmarkStart w:id="142" w:name="_Toc19183"/>
      <w:r>
        <w:rPr>
          <w:rFonts w:hint="default" w:ascii="Times New Roman" w:hAnsi="Times New Roman" w:cs="Times New Roman"/>
          <w:color w:val="000000" w:themeColor="text1"/>
          <w:highlight w:val="none"/>
          <w:lang w:val="en-US" w:eastAsia="zh-CN"/>
          <w14:textFill>
            <w14:solidFill>
              <w14:schemeClr w14:val="tx1"/>
            </w14:solidFill>
          </w14:textFill>
        </w:rPr>
        <w:t>二、全面促进消费扩容升级</w:t>
      </w:r>
      <w:bookmarkEnd w:id="141"/>
      <w:bookmarkEnd w:id="142"/>
    </w:p>
    <w:p>
      <w:pPr>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强化消费对经济发展的基础性作用，推进新型消费加快发展，鼓励发展定制消费、体验消费、共享消费，支持实体企业通过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直播带货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云逛街</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模式扩大消费量，推动线上线下融合消费双向提速。落实鼓励消费的各项政策，开展消费惠民行动，建设特色化消费城市，加强城乡消费网络布局，鼓励超市进镇、快速下乡、配送到村，畅通城乡消费循环。探索实行绿色产品消费积分制度，逐步建立老旧家用汽车、家电、公交车回收循环利用体系。发挥公共消费对居民的带动作用，合理增加教育、养老、育幼等领域公共支出，促进基本公共服务质量明显提升。落实带薪休假制度，扩大节日消费。畅通消费者维权渠道，完善个人信息保护制度和消费后评价制度，健全消费信用体系，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放心消费在吴忠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创建活动，营造安全放心的消费环境。</w:t>
      </w:r>
    </w:p>
    <w:p>
      <w:pPr>
        <w:pStyle w:val="4"/>
        <w:keepNext/>
        <w:keepLines/>
        <w:pageBreakBefore w:val="0"/>
        <w:widowControl w:val="0"/>
        <w:kinsoku/>
        <w:wordWrap/>
        <w:overflowPunct/>
        <w:topLinePunct w:val="0"/>
        <w:autoSpaceDE/>
        <w:autoSpaceDN/>
        <w:bidi w:val="0"/>
        <w:adjustRightInd/>
        <w:snapToGrid/>
        <w:spacing w:before="60" w:after="60" w:line="550" w:lineRule="exact"/>
        <w:ind w:firstLine="664"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43" w:name="_Toc7044"/>
      <w:r>
        <w:rPr>
          <w:rFonts w:hint="default" w:ascii="Times New Roman" w:hAnsi="Times New Roman" w:cs="Times New Roman"/>
          <w:color w:val="000000" w:themeColor="text1"/>
          <w:highlight w:val="none"/>
          <w:lang w:val="en-US" w:eastAsia="zh-CN"/>
          <w14:textFill>
            <w14:solidFill>
              <w14:schemeClr w14:val="tx1"/>
            </w14:solidFill>
          </w14:textFill>
        </w:rPr>
        <w:t>三、积极扩大精准有效投资</w:t>
      </w:r>
      <w:bookmarkEnd w:id="143"/>
    </w:p>
    <w:p>
      <w:pPr>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紧扣国家政策导向和社会资本流向，合理安排政府资金投入规模和结构，引导资金投向生态环保、特色产业、基础设施、公共服务、农业农村等关键领域和薄弱环节，保障重大工程项目建设。扩大保障性租赁住房供给，加快完善多主体供应、多渠道保障的住房保障体系，满足各类群体住房需求。加强经济发达镇建设，加快新型城镇化步伐，提升城镇服务带动能力。发挥政府投资、专项债券的撬动作用，鼓励民间资本采取混合所有制、设立基金、组建联合体等多种方式参与重大项目建设，稳妥推进基础设施REITs（信托投资基金）合作模式，盘活优质存量资产，形成良性投资循环。</w:t>
      </w:r>
    </w:p>
    <w:p>
      <w:pPr>
        <w:pStyle w:val="3"/>
        <w:bidi w:val="0"/>
        <w:rPr>
          <w:rFonts w:hint="default" w:ascii="Times New Roman" w:hAnsi="Times New Roman" w:eastAsia="黑体" w:cs="Times New Roman"/>
          <w:bCs/>
          <w:color w:val="000000"/>
          <w:spacing w:val="0"/>
          <w:kern w:val="2"/>
          <w:sz w:val="32"/>
          <w:szCs w:val="32"/>
          <w:lang w:val="en-US" w:eastAsia="zh-CN" w:bidi="ar-SA"/>
        </w:rPr>
      </w:pPr>
      <w:bookmarkStart w:id="144" w:name="_Toc18637"/>
      <w:r>
        <w:rPr>
          <w:rFonts w:hint="default" w:ascii="Times New Roman" w:hAnsi="Times New Roman" w:cs="Times New Roman"/>
          <w:color w:val="000000" w:themeColor="text1"/>
          <w:highlight w:val="none"/>
          <w14:textFill>
            <w14:solidFill>
              <w14:schemeClr w14:val="tx1"/>
            </w14:solidFill>
          </w14:textFill>
        </w:rPr>
        <w:br w:type="page"/>
      </w:r>
      <w:bookmarkStart w:id="145" w:name="_Toc4629"/>
      <w:r>
        <w:rPr>
          <w:rFonts w:hint="default" w:ascii="Times New Roman" w:hAnsi="Times New Roman" w:eastAsia="黑体" w:cs="Times New Roman"/>
          <w:bCs/>
          <w:color w:val="000000"/>
          <w:spacing w:val="0"/>
          <w:kern w:val="2"/>
          <w:sz w:val="32"/>
          <w:szCs w:val="32"/>
          <w:lang w:val="en-US" w:eastAsia="zh-CN" w:bidi="ar-SA"/>
        </w:rPr>
        <w:t xml:space="preserve">第五章  </w:t>
      </w:r>
      <w:bookmarkEnd w:id="144"/>
      <w:r>
        <w:rPr>
          <w:rFonts w:hint="default" w:ascii="Times New Roman" w:hAnsi="Times New Roman" w:eastAsia="黑体" w:cs="Times New Roman"/>
          <w:bCs/>
          <w:color w:val="000000"/>
          <w:spacing w:val="0"/>
          <w:kern w:val="2"/>
          <w:sz w:val="32"/>
          <w:szCs w:val="32"/>
          <w:lang w:val="en-US" w:eastAsia="zh-CN" w:bidi="ar-SA"/>
        </w:rPr>
        <w:t>深入推进改革开放  充分释放新活力开拓新局面</w:t>
      </w:r>
      <w:bookmarkEnd w:id="14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坚持社会主义市场经济改革方向，推动有效市场和有为政府更好结合，不断激发市场活力。实施开放带动战略，构建高水平开放新体制和全方位开放新格局。</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46" w:name="_Toc13670"/>
      <w:r>
        <w:rPr>
          <w:rFonts w:hint="default" w:ascii="Times New Roman" w:hAnsi="Times New Roman" w:eastAsia="方正黑体简体" w:cs="Times New Roman"/>
          <w:color w:val="000000"/>
          <w:spacing w:val="0"/>
          <w:sz w:val="32"/>
          <w:szCs w:val="32"/>
          <w:lang w:val="en-US" w:eastAsia="zh-CN"/>
        </w:rPr>
        <w:t>第一节  全面深化改革</w:t>
      </w:r>
      <w:bookmarkEnd w:id="146"/>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坚持和完善社会主义基本经济制度，充分发挥市场在资源配置中的决定性作用，更好发挥政府作用，加快构建充满活力的市场经济体制机制</w:t>
      </w:r>
      <w:r>
        <w:rPr>
          <w:rFonts w:hint="default" w:ascii="Times New Roman" w:hAnsi="Times New Roman" w:eastAsia="方正仿宋_GBK" w:cs="Times New Roman"/>
          <w:color w:val="000000" w:themeColor="text1"/>
          <w:highlight w:val="none"/>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47" w:name="_Toc14338"/>
      <w:bookmarkStart w:id="148" w:name="_Toc13979"/>
      <w:bookmarkStart w:id="149" w:name="_Toc1037"/>
      <w:r>
        <w:rPr>
          <w:rFonts w:hint="default" w:ascii="Times New Roman" w:hAnsi="Times New Roman" w:cs="Times New Roman"/>
          <w:color w:val="000000" w:themeColor="text1"/>
          <w:highlight w:val="none"/>
          <w:lang w:val="en-US" w:eastAsia="zh-CN"/>
          <w14:textFill>
            <w14:solidFill>
              <w14:schemeClr w14:val="tx1"/>
            </w14:solidFill>
          </w14:textFill>
        </w:rPr>
        <w:t>一、充分激发市场主体活力</w:t>
      </w:r>
      <w:bookmarkEnd w:id="147"/>
      <w:bookmarkEnd w:id="148"/>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实施国企改革三年行动，加强国资监管体制和企业内部管理机制改革，提升国有企业服务城市建设、助力产业发展、保障民生需求能力。健全市场化经营机制，增强企业发展活力和竞争力，提高国有企业发展质量和效益，推动国有资本和国有企业不断做强做优。推进混合所有制改革，支持混合所有制企业开展员工持股试点改革，强化与各类资本合资合作。完善民营经济发展政策体系，支持民营经济进入能源资源、基础设施、服务业等领域，优化促进中小微企业和个体工商户发展制度环境，积极为企业融资提供支持和便利，引导企业完善公司治理结构，激发和保护企业家精神，构建亲清政商关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50" w:name="_Toc3102"/>
      <w:bookmarkStart w:id="151" w:name="_Toc12527"/>
      <w:r>
        <w:rPr>
          <w:rFonts w:hint="default" w:ascii="Times New Roman" w:hAnsi="Times New Roman" w:cs="Times New Roman"/>
          <w:color w:val="000000" w:themeColor="text1"/>
          <w:highlight w:val="none"/>
          <w:lang w:val="en-US" w:eastAsia="zh-CN"/>
          <w14:textFill>
            <w14:solidFill>
              <w14:schemeClr w14:val="tx1"/>
            </w14:solidFill>
          </w14:textFill>
        </w:rPr>
        <w:t>二、建设高标准市场体系</w:t>
      </w:r>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highlight w:val="none"/>
          <w:lang w:val="en-US" w:eastAsia="zh-CN"/>
          <w14:textFill>
            <w14:solidFill>
              <w14:schemeClr w14:val="tx1"/>
            </w14:solidFill>
          </w14:textFill>
        </w:rPr>
        <w:t>健全公平竞争的市场机制。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落实物权、债券、股权等各类产权相关法律法规制度，推进国有资产、自然资源资产、农村集体产权、知识产权等重点领域改革。深入实施市场准入负面清单制度，推动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非禁即入</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普遍落实。落实市场主体平等保护机制，在要素获取、准入许可、经营运行、政府采购和招投标等方面对各类市场主体平等对待。全面落实公平竞争审查制度，建立健全第三方公平竞争评估机制，提升市场综合监管能力。</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深化要素市场化配置改革。</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推进要素市场改革和制度建设，促进要素流动自主有序、配置高效公平。建立城乡统一用地市场，深化产业用地市场化配置改革，稳妥推进农村宅基地</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三权分置</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、农村集体建设用地改革。健全人力资源市场体系，加强就业援助，保障城乡劳动者享有平等就业权利。深化金融改革，优化金融资源配置，推进绿色金融创新，建立县域银行业金融机构服务</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三农</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的激励约束机制。深化资源性产品等要素价格形成机制改革，推进增量配电业务改革，促进清洁能源消纳。建设要素市场化平台，畅通各类要素流通渠道。</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52" w:name="_Toc18887"/>
      <w:bookmarkStart w:id="153" w:name="_Toc4850"/>
      <w:bookmarkStart w:id="154" w:name="_Toc22114"/>
      <w:r>
        <w:rPr>
          <w:rFonts w:hint="default" w:ascii="Times New Roman" w:hAnsi="Times New Roman" w:cs="Times New Roman"/>
          <w:color w:val="000000" w:themeColor="text1"/>
          <w:highlight w:val="none"/>
          <w:lang w:val="en-US" w:eastAsia="zh-CN"/>
          <w14:textFill>
            <w14:solidFill>
              <w14:schemeClr w14:val="tx1"/>
            </w14:solidFill>
          </w14:textFill>
        </w:rPr>
        <w:t>三、</w:t>
      </w:r>
      <w:bookmarkEnd w:id="152"/>
      <w:bookmarkEnd w:id="153"/>
      <w:bookmarkEnd w:id="154"/>
      <w:r>
        <w:rPr>
          <w:rFonts w:hint="default" w:ascii="Times New Roman" w:hAnsi="Times New Roman" w:cs="Times New Roman"/>
          <w:color w:val="000000" w:themeColor="text1"/>
          <w:highlight w:val="none"/>
          <w:lang w:val="en-US" w:eastAsia="zh-CN"/>
          <w14:textFill>
            <w14:solidFill>
              <w14:schemeClr w14:val="tx1"/>
            </w14:solidFill>
          </w14:textFill>
        </w:rPr>
        <w:t>持续推进政府职能转变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i w:val="0"/>
          <w:iCs w:val="0"/>
          <w:caps w:val="0"/>
          <w:color w:val="000000" w:themeColor="text1"/>
          <w:spacing w:val="0"/>
          <w:sz w:val="30"/>
          <w:szCs w:val="30"/>
          <w:highlight w:val="none"/>
          <w:shd w:val="clear" w:color="auto" w:fill="auto"/>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提高政府治理效能。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职责明确、依法行政的政府治理体系，贯彻落实党中央和自治区重大决策部署、国家宏观政策机制，健全强有力的行政执行系统，提高政府执行力和公信力。健全重大政策事前评估和事后评价制度，畅通参与政策制定的渠道，提高决策科学化、民主化、法治化水平。加强经济安全保障制度建设，健全粮食安全和应急物资保障体系。加强综合治税信息共享，推进环境保护税、水资源税改革。加强事中事后监督，对新产业新业态实行包容审慎监管。深化行业协会、商会和中介机构改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打造一流营商环境。</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全面落实《优化营商环境条例》，加强跨地区、跨部门、跨层级业务协同和信息共享，</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深化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行政审批制度改革</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优化投资项目前期审批流程，提高工程建设项目审批效率。提升</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政务服务标准化、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便利化水平</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互联网+政务服务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全面实施</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一窗受理</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一网通办</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商事制度改革，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简化企业注册和注销手续，提高涉企服务便利化水平</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实施涉企经营许可事项清单管理，加强事中事后监管，对新产业新业态实行包容审慎监管。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建立健全社会信用体系。</w:t>
      </w:r>
      <w:r>
        <w:rPr>
          <w:rFonts w:hint="default" w:ascii="Times New Roman" w:hAnsi="Times New Roman" w:eastAsia="方正仿宋_GBK" w:cs="Times New Roman"/>
          <w:color w:val="000000" w:themeColor="text1"/>
          <w:highlight w:val="none"/>
          <w14:textFill>
            <w14:solidFill>
              <w14:schemeClr w14:val="tx1"/>
            </w14:solidFill>
          </w14:textFill>
        </w:rPr>
        <w:t>加快征信市场建设，培育有良好信誉的信用服务机构，</w:t>
      </w:r>
      <w:r>
        <w:rPr>
          <w:rFonts w:hint="default" w:ascii="Times New Roman" w:hAnsi="Times New Roman" w:eastAsia="方正仿宋_GBK" w:cs="Times New Roman"/>
          <w:color w:val="000000" w:themeColor="text1"/>
          <w:highlight w:val="none"/>
          <w:lang w:eastAsia="zh-CN"/>
          <w14:textFill>
            <w14:solidFill>
              <w14:schemeClr w14:val="tx1"/>
            </w14:solidFill>
          </w14:textFill>
        </w:rPr>
        <w:t>鼓励</w:t>
      </w:r>
      <w:r>
        <w:rPr>
          <w:rFonts w:hint="default" w:ascii="Times New Roman" w:hAnsi="Times New Roman" w:eastAsia="方正仿宋_GBK" w:cs="Times New Roman"/>
          <w:color w:val="000000" w:themeColor="text1"/>
          <w:highlight w:val="none"/>
          <w14:textFill>
            <w14:solidFill>
              <w14:schemeClr w14:val="tx1"/>
            </w14:solidFill>
          </w14:textFill>
        </w:rPr>
        <w:t>研发适合吴忠的征信产品</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丰富信用服务产品供给，加强信用服务市场监管，规范信用服务机构运作。完善守信激励和失信惩戒机制，建立守信奖励和激励制度，实施社会信用奖惩联动，强化对守信主体的奖励和激励。普及诚信教育，弘扬诚信文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55" w:name="_Toc8890"/>
      <w:bookmarkStart w:id="156" w:name="_Toc24774"/>
      <w:bookmarkStart w:id="157" w:name="_Toc11649"/>
      <w:r>
        <w:rPr>
          <w:rFonts w:hint="default" w:ascii="Times New Roman" w:hAnsi="Times New Roman" w:cs="Times New Roman"/>
          <w:color w:val="000000" w:themeColor="text1"/>
          <w:highlight w:val="none"/>
          <w:lang w:val="en-US" w:eastAsia="zh-CN"/>
          <w14:textFill>
            <w14:solidFill>
              <w14:schemeClr w14:val="tx1"/>
            </w14:solidFill>
          </w14:textFill>
        </w:rPr>
        <w:t>四、</w:t>
      </w:r>
      <w:bookmarkEnd w:id="155"/>
      <w:bookmarkEnd w:id="156"/>
      <w:bookmarkEnd w:id="157"/>
      <w:r>
        <w:rPr>
          <w:rFonts w:hint="default" w:ascii="Times New Roman" w:hAnsi="Times New Roman" w:cs="Times New Roman"/>
          <w:color w:val="000000" w:themeColor="text1"/>
          <w:highlight w:val="none"/>
          <w:lang w:val="en-US" w:eastAsia="zh-CN"/>
          <w14:textFill>
            <w14:solidFill>
              <w14:schemeClr w14:val="tx1"/>
            </w14:solidFill>
          </w14:textFill>
        </w:rPr>
        <w:t>深化财税金融体制改革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推动财税改革助力经济发展。</w:t>
      </w:r>
      <w:r>
        <w:rPr>
          <w:rFonts w:hint="default" w:ascii="Times New Roman" w:hAnsi="Times New Roman" w:eastAsia="方正仿宋_GBK" w:cs="Times New Roman"/>
          <w:color w:val="000000" w:themeColor="text1"/>
          <w:highlight w:val="none"/>
          <w14:textFill>
            <w14:solidFill>
              <w14:schemeClr w14:val="tx1"/>
            </w14:solidFill>
          </w14:textFill>
        </w:rPr>
        <w:t>认真贯彻落实《预算法》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确保预算的编制、执行、监督</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三到位</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，实现财政资金支持地方经济发展的精准化、高效化</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不断完善</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全口径</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预算编制管理机制，聚焦重大项目实施、实体经济发展、产业融合推进、为民办理实事等方面，强化财政资金统筹能力，助推政府集中财力办大事、办实事。积极争取中央、自治区对革命老区、民族地区、贫困地区的财力补助，为全市经济社会高质量发展提供财力保障。进一步深化相关领域财政事权和支出责任划分改革，持续加大财政投入力度，优化财政投入结构，提升财政资金使用效益，更好地体现财政稳定经济的撬动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完善财政与金融市场合作互动新机制。</w:t>
      </w:r>
      <w:r>
        <w:rPr>
          <w:rFonts w:hint="default" w:ascii="Times New Roman" w:hAnsi="Times New Roman" w:eastAsia="方正仿宋_GBK" w:cs="Times New Roman"/>
          <w:color w:val="000000" w:themeColor="text1"/>
          <w:highlight w:val="none"/>
          <w14:textFill>
            <w14:solidFill>
              <w14:schemeClr w14:val="tx1"/>
            </w14:solidFill>
          </w14:textFill>
        </w:rPr>
        <w:t>发挥政府产业引导基金作用，支持优质企业做大做强，促进产融深度融合，构建财政资金与金融资源、社会资本之间的联动机制。建立健全风险补偿机制，加大政府融资担保机构支持</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三农</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和小微企业的力度，扩大担保覆盖面。做好自发自还政府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highlight w:val="none"/>
          <w14:textFill>
            <w14:solidFill>
              <w14:schemeClr w14:val="tx1"/>
            </w14:solidFill>
          </w14:textFill>
        </w:rPr>
        <w:t>般债券和专项债券，</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审慎</w:t>
      </w:r>
      <w:r>
        <w:rPr>
          <w:rFonts w:hint="default" w:ascii="Times New Roman" w:hAnsi="Times New Roman" w:eastAsia="方正仿宋_GBK" w:cs="Times New Roman"/>
          <w:color w:val="000000" w:themeColor="text1"/>
          <w:highlight w:val="none"/>
          <w14:textFill>
            <w14:solidFill>
              <w14:schemeClr w14:val="tx1"/>
            </w14:solidFill>
          </w14:textFill>
        </w:rPr>
        <w:t>扩大发债规模，推动融资平台建设，加大对外财经合作，利用更多政策性贷款，放大资金倍增效应。</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58" w:name="_Toc26394"/>
      <w:bookmarkStart w:id="159" w:name="_Toc19432"/>
      <w:bookmarkStart w:id="160" w:name="_Toc2000"/>
      <w:bookmarkStart w:id="161" w:name="_Toc7901"/>
      <w:bookmarkStart w:id="162" w:name="_Toc15522"/>
      <w:r>
        <w:rPr>
          <w:rFonts w:hint="default" w:ascii="Times New Roman" w:hAnsi="Times New Roman" w:cs="Times New Roman"/>
          <w:color w:val="000000" w:themeColor="text1"/>
          <w:highlight w:val="none"/>
          <w:lang w:val="en-US" w:eastAsia="zh-CN"/>
          <w14:textFill>
            <w14:solidFill>
              <w14:schemeClr w14:val="tx1"/>
            </w14:solidFill>
          </w14:textFill>
        </w:rPr>
        <w:t xml:space="preserve">第二节 </w:t>
      </w:r>
      <w:bookmarkEnd w:id="158"/>
      <w:bookmarkEnd w:id="159"/>
      <w:bookmarkEnd w:id="160"/>
      <w:bookmarkEnd w:id="161"/>
      <w:r>
        <w:rPr>
          <w:rFonts w:hint="default" w:ascii="Times New Roman" w:hAnsi="Times New Roman" w:cs="Times New Roman"/>
          <w:color w:val="000000" w:themeColor="text1"/>
          <w:highlight w:val="none"/>
          <w:lang w:val="en-US" w:eastAsia="zh-CN"/>
          <w14:textFill>
            <w14:solidFill>
              <w14:schemeClr w14:val="tx1"/>
            </w14:solidFill>
          </w14:textFill>
        </w:rPr>
        <w:t xml:space="preserve"> 持续扩大开放</w:t>
      </w:r>
      <w:bookmarkEnd w:id="162"/>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坚持对内开放和对外开放相结合，</w:t>
      </w:r>
      <w:r>
        <w:rPr>
          <w:rFonts w:hint="default" w:ascii="Times New Roman" w:hAnsi="Times New Roman" w:eastAsia="方正仿宋_GBK" w:cs="Times New Roman"/>
          <w:color w:val="000000" w:themeColor="text1"/>
          <w:highlight w:val="none"/>
          <w14:textFill>
            <w14:solidFill>
              <w14:schemeClr w14:val="tx1"/>
            </w14:solidFill>
          </w14:textFill>
        </w:rPr>
        <w:t>在</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一带一路</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框架内，</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积极融入黄河流域生态保护和高质量发展</w:t>
      </w:r>
      <w:r>
        <w:rPr>
          <w:rFonts w:hint="default" w:ascii="Times New Roman" w:hAnsi="Times New Roman" w:eastAsia="方正仿宋_GBK" w:cs="Times New Roman"/>
          <w:color w:val="000000" w:themeColor="text1"/>
          <w:highlight w:val="none"/>
          <w14:textFill>
            <w14:solidFill>
              <w14:schemeClr w14:val="tx1"/>
            </w14:solidFill>
          </w14:textFill>
        </w:rPr>
        <w:t>国家战略</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深化区域务实合作，切实推进更大范围、更宽领域、更深层次的全面开放。</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63" w:name="_Toc21081"/>
      <w:bookmarkStart w:id="164" w:name="_Toc23639"/>
      <w:bookmarkStart w:id="165" w:name="_Toc5190"/>
      <w:bookmarkStart w:id="166" w:name="_Toc2449"/>
      <w:bookmarkStart w:id="167" w:name="_Toc146"/>
      <w:bookmarkStart w:id="168" w:name="_Toc4884"/>
      <w:r>
        <w:rPr>
          <w:rFonts w:hint="default" w:ascii="Times New Roman" w:hAnsi="Times New Roman" w:cs="Times New Roman"/>
          <w:color w:val="000000" w:themeColor="text1"/>
          <w:highlight w:val="none"/>
          <w:lang w:val="en-US" w:eastAsia="zh-CN"/>
          <w14:textFill>
            <w14:solidFill>
              <w14:schemeClr w14:val="tx1"/>
            </w14:solidFill>
          </w14:textFill>
        </w:rPr>
        <w:t>一、</w:t>
      </w:r>
      <w:bookmarkEnd w:id="163"/>
      <w:bookmarkEnd w:id="164"/>
      <w:bookmarkEnd w:id="165"/>
      <w:bookmarkEnd w:id="166"/>
      <w:bookmarkEnd w:id="167"/>
      <w:r>
        <w:rPr>
          <w:rFonts w:hint="default" w:ascii="Times New Roman" w:hAnsi="Times New Roman" w:cs="Times New Roman"/>
          <w:color w:val="000000" w:themeColor="text1"/>
          <w:highlight w:val="none"/>
          <w:lang w:val="en-US" w:eastAsia="zh-CN"/>
          <w14:textFill>
            <w14:solidFill>
              <w14:schemeClr w14:val="tx1"/>
            </w14:solidFill>
          </w14:textFill>
        </w:rPr>
        <w:t>加快开放合作步伐</w:t>
      </w:r>
      <w:bookmarkEnd w:id="168"/>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加强沿黄区域协同合作。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拓展与陕甘蒙等毗邻省区的合作，依托沿黄城市群加强与黄河几字弯城市的互动发展，推动在装备制造、文化旅游、资源开发利用、教育医疗等领域务实合作，加强产业分工和城市功能互补，促进产城一体化协同发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深化与东中部地区务实合作。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主动承接东中部地区产业转移，推动市场对接、园区共建、营商环境等方面合作，吸引集聚大企业、大项目和上下游配套产业。进一步完善东西部合作对口帮扶机制，深化泉州对口帮扶合作。提高开放发展水平，加强与京津冀、长三角、粤港澳大湾区等地区的交流合作，积极参与西部陆海新通道建设。</w:t>
      </w:r>
    </w:p>
    <w:p>
      <w:pPr>
        <w:pStyle w:val="4"/>
        <w:keepNext/>
        <w:keepLines/>
        <w:pageBreakBefore w:val="0"/>
        <w:widowControl w:val="0"/>
        <w:kinsoku/>
        <w:wordWrap/>
        <w:overflowPunct/>
        <w:topLinePunct w:val="0"/>
        <w:autoSpaceDE/>
        <w:autoSpaceDN/>
        <w:bidi w:val="0"/>
        <w:adjustRightInd/>
        <w:snapToGrid/>
        <w:spacing w:before="0" w:after="60" w:line="560" w:lineRule="exact"/>
        <w:ind w:firstLine="64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69" w:name="_Toc11248"/>
      <w:bookmarkStart w:id="170" w:name="_Toc31835"/>
      <w:bookmarkStart w:id="171" w:name="_Toc10295"/>
      <w:r>
        <w:rPr>
          <w:rFonts w:hint="default" w:ascii="Times New Roman" w:hAnsi="Times New Roman" w:cs="Times New Roman"/>
          <w:color w:val="000000" w:themeColor="text1"/>
          <w:highlight w:val="none"/>
          <w:lang w:val="en-US" w:eastAsia="zh-CN"/>
          <w14:textFill>
            <w14:solidFill>
              <w14:schemeClr w14:val="tx1"/>
            </w14:solidFill>
          </w14:textFill>
        </w:rPr>
        <w:t>二、完善开放通道体系</w:t>
      </w:r>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优化陆上开放通道。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充分利用宁夏中欧班列重要支点优势，推进公铁联运、铁海联运模式。加强优质特色产品、产业的市场扩散能力和出口力度，借助银川综保区，拓展与外部市场的联系，打通通商道路，建设区域性原料保税区。发挥好银西高铁、银中高铁快速铁路作用，超前谋划高铁经济蓝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构建空中开放通道。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发挥吴忠临近银川河东国际机场优势，强化盐池通用机场作用，规划建设红寺堡、同心通用机场，探索建立境内通用机场与国际机场、支线机场联系机制，借力发展通航产业和临空经济。</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畅通网上开放通道。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积极接入国家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数字丝绸之路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，拓展国际网络和区域信息通道，扩大与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一带一路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沿线国家的医疗健康、文化旅游等服务贸易。引入电商要素，畅通农产品上行与工业品下乡双向流通渠道，探索发展跨境电子商务，让更多产品通过网络走向全球。</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72" w:name="_Toc17611"/>
      <w:bookmarkStart w:id="173" w:name="_Toc22035"/>
      <w:bookmarkStart w:id="174" w:name="_Toc4418"/>
      <w:bookmarkStart w:id="175" w:name="_Toc7857"/>
      <w:bookmarkStart w:id="176" w:name="_Toc25157"/>
      <w:bookmarkStart w:id="177" w:name="_Toc12985"/>
      <w:r>
        <w:rPr>
          <w:rFonts w:hint="default" w:ascii="Times New Roman" w:hAnsi="Times New Roman" w:cs="Times New Roman"/>
          <w:color w:val="000000" w:themeColor="text1"/>
          <w:highlight w:val="none"/>
          <w:lang w:val="en-US" w:eastAsia="zh-CN"/>
          <w14:textFill>
            <w14:solidFill>
              <w14:schemeClr w14:val="tx1"/>
            </w14:solidFill>
          </w14:textFill>
        </w:rPr>
        <w:t>三</w:t>
      </w:r>
      <w:bookmarkEnd w:id="172"/>
      <w:bookmarkEnd w:id="173"/>
      <w:bookmarkEnd w:id="174"/>
      <w:r>
        <w:rPr>
          <w:rFonts w:hint="default" w:ascii="Times New Roman" w:hAnsi="Times New Roman" w:cs="Times New Roman"/>
          <w:color w:val="000000" w:themeColor="text1"/>
          <w:highlight w:val="none"/>
          <w:lang w:val="en-US" w:eastAsia="zh-CN"/>
          <w14:textFill>
            <w14:solidFill>
              <w14:schemeClr w14:val="tx1"/>
            </w14:solidFill>
          </w14:textFill>
        </w:rPr>
        <w:t>、培育发展开放型经济</w:t>
      </w:r>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构建全面开放平台。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借助中阿博览会和内陆开放型经济试验区平台，聚焦经贸务实合作，促进展会平台与开放经济深度结合。坚持把园区作为对外开放主平台，强化功能定位和产业导向。支持吴忠高新技术产业开发区、吴忠国家级农业科技园区等各类园区开放创新，吸引外向型企业入驻，建立完善配套服务体系。探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新模式，建设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飞地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工业园区和虚拟产业园，促进企业非转移式入驻，开展项目精准对接。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178" w:name="_Toc27270"/>
      <w:bookmarkStart w:id="179" w:name="_Toc7511"/>
      <w:bookmarkStart w:id="180" w:name="_Toc28177"/>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提升利用外资水平。</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高先进制造业和服务业利用外资比重，加强新型招商队伍建设，积极吸引跨国公司、国内行业龙头企业来吴投资，吸引更高技术水平、更高附加值的加工制造环节和产品向我市转移。促进民企与外企互动发展，引进境内外各类投资基金，鼓励外资参与企业改制与重组，鼓励企业通过境外上市、国际融资等方式加大对国际金融资本的利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构建开放型经济新体制。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加大进出口企业培育力度，积极研究出口市场，灵活运用好国家出台的一系列外贸政策，降低企业生产成本，培育一批面向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一带一路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沿线国家的出口型企业。积极调整优化进出口结构，巩固港澳台、欧美等传统出口市场，积极开拓非洲、中东等新兴市场，重点开拓东盟市场，扩大富硒农业、畜牧业、奶产业出口，增加先进设备和短缺资源的进口，鼓励吴忠优势、特色企业到境外投资兴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p>
    <w:bookmarkEnd w:id="178"/>
    <w:bookmarkEnd w:id="179"/>
    <w:bookmarkEnd w:id="180"/>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对外开放</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1.对外开放大通道工程：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青银高速高沙窝西至宁陕界公路扩建项目；青嘉铁路建设项目；祥跃通用航空红寺堡罗山通用机场项目；京藏高速红寺堡北至城区连接线改造工程。</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trike w:val="0"/>
                <w:dstrike w:val="0"/>
                <w:color w:val="000000" w:themeColor="text1"/>
                <w:spacing w:val="-6"/>
                <w:szCs w:val="44"/>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6"/>
                <w:szCs w:val="26"/>
                <w:highlight w:val="none"/>
                <w14:textFill>
                  <w14:solidFill>
                    <w14:schemeClr w14:val="tx1"/>
                  </w14:solidFill>
                </w14:textFill>
              </w:rPr>
              <w:t>区域交流合作工程</w:t>
            </w: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中石化定北区块气田合作勘探开发项目；焊接与切割机器人工作站配套数字化焊割电源研发项目；中石油边缘残次油井代管合作开发项目；加强与浙江、福建对口帮扶地区以及陕甘青蒙毗邻地区等城市的友好协作项目。</w:t>
            </w:r>
          </w:p>
        </w:tc>
      </w:tr>
    </w:tbl>
    <w:p>
      <w:pPr>
        <w:pStyle w:val="3"/>
        <w:keepNext/>
        <w:keepLines/>
        <w:pageBreakBefore w:val="0"/>
        <w:widowControl w:val="0"/>
        <w:kinsoku/>
        <w:wordWrap/>
        <w:overflowPunct/>
        <w:topLinePunct w:val="0"/>
        <w:autoSpaceDE/>
        <w:autoSpaceDN/>
        <w:bidi w:val="0"/>
        <w:adjustRightInd/>
        <w:snapToGrid/>
        <w:spacing w:before="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br w:type="page"/>
      </w:r>
      <w:bookmarkStart w:id="181" w:name="_Toc30836"/>
      <w:r>
        <w:rPr>
          <w:rFonts w:hint="default" w:ascii="Times New Roman" w:hAnsi="Times New Roman" w:eastAsia="黑体" w:cs="Times New Roman"/>
          <w:bCs/>
          <w:color w:val="000000"/>
          <w:spacing w:val="0"/>
          <w:kern w:val="2"/>
          <w:sz w:val="32"/>
          <w:szCs w:val="32"/>
          <w:lang w:val="en-US" w:eastAsia="zh-CN" w:bidi="ar-SA"/>
        </w:rPr>
        <w:t>第六章  全面推进乡村振兴  谱写农业农村现代化新篇章</w:t>
      </w:r>
      <w:bookmarkEnd w:id="18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坚持农业农村优先发展，</w:t>
      </w:r>
      <w:r>
        <w:rPr>
          <w:rFonts w:hint="default" w:ascii="Times New Roman" w:hAnsi="Times New Roman" w:eastAsia="方正仿宋_GBK" w:cs="Times New Roman"/>
          <w:color w:val="000000" w:themeColor="text1"/>
          <w:highlight w:val="none"/>
          <w14:textFill>
            <w14:solidFill>
              <w14:schemeClr w14:val="tx1"/>
            </w14:solidFill>
          </w14:textFill>
        </w:rPr>
        <w:t>全面实施乡村振兴战略，强化以工补农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以城带乡，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w:t>
      </w:r>
      <w:r>
        <w:rPr>
          <w:rFonts w:hint="default" w:ascii="Times New Roman" w:hAnsi="Times New Roman" w:eastAsia="方正仿宋_GBK" w:cs="Times New Roman"/>
          <w:color w:val="000000" w:themeColor="text1"/>
          <w:highlight w:val="none"/>
          <w14:textFill>
            <w14:solidFill>
              <w14:schemeClr w14:val="tx1"/>
            </w14:solidFill>
          </w14:textFill>
        </w:rPr>
        <w:t>农业全面升级，农村全面进步，农民全面发展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加快实现农业强农村美农民富</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82" w:name="_Toc28270"/>
      <w:r>
        <w:rPr>
          <w:rFonts w:hint="default" w:ascii="Times New Roman" w:hAnsi="Times New Roman" w:eastAsia="方正黑体简体" w:cs="Times New Roman"/>
          <w:color w:val="000000"/>
          <w:spacing w:val="0"/>
          <w:sz w:val="32"/>
          <w:szCs w:val="32"/>
          <w:lang w:val="en-US" w:eastAsia="zh-CN"/>
        </w:rPr>
        <w:t>第一节  夯实农业发展基础</w:t>
      </w:r>
      <w:bookmarkEnd w:id="182"/>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健全农业支持保护制度，进一步完善惠农强农政策，巩固和加强农业基础地位。</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落实国家粮食安全战略。</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落实最严格的耕地保护制度，坚持藏粮于地、藏粮于技，保持粮食播种面积和产量稳定。建设良种繁育基地，推广和扩大优质良种。</w:t>
      </w:r>
      <w:r>
        <w:rPr>
          <w:rFonts w:hint="default" w:ascii="Times New Roman" w:hAnsi="Times New Roman" w:eastAsia="方正仿宋_GBK" w:cs="Times New Roman"/>
          <w:color w:val="000000" w:themeColor="text1"/>
          <w:highlight w:val="none"/>
          <w14:textFill>
            <w14:solidFill>
              <w14:schemeClr w14:val="tx1"/>
            </w14:solidFill>
          </w14:textFill>
        </w:rPr>
        <w:t>实施高标准农田建设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盐碱地综合改良等项目</w:t>
      </w:r>
      <w:r>
        <w:rPr>
          <w:rFonts w:hint="default" w:ascii="Times New Roman" w:hAnsi="Times New Roman" w:eastAsia="方正仿宋_GBK" w:cs="Times New Roman"/>
          <w:color w:val="000000" w:themeColor="text1"/>
          <w:highlight w:val="none"/>
          <w14:textFill>
            <w14:solidFill>
              <w14:schemeClr w14:val="tx1"/>
            </w14:solidFill>
          </w14:textFill>
        </w:rPr>
        <w:t>，改善农业基础设施条件</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加强粮食生产功能区、重要农产品生产保护区和特色农产品优势区建设，开展粮食节约活动，保障</w:t>
      </w:r>
      <w:r>
        <w:rPr>
          <w:rFonts w:hint="default" w:ascii="Times New Roman" w:hAnsi="Times New Roman" w:eastAsia="方正仿宋_GBK" w:cs="Times New Roman"/>
          <w:color w:val="000000" w:themeColor="text1"/>
          <w:highlight w:val="none"/>
          <w14:textFill>
            <w14:solidFill>
              <w14:schemeClr w14:val="tx1"/>
            </w14:solidFill>
          </w14:textFill>
        </w:rPr>
        <w:t>重要农产品供给安全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大力发展乡村富民产业。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实施产业强县和产业强镇工程，引导农业企业与农民合作社、农户联合建设生产基地、加工车间，培育精深加工强镇和特色产业强镇。推动现代农业产业园区、农业科技园、农产品加工园三园同建，集聚融合发展关联产业，培育农事体验、绿色康养等新业态，打造现代化农业全产业链，引领带动农村一二三产业融合发展。到2025年，培育20个自治区级融合示范企业，新增国家级产业融合发展示范园5个。</w:t>
      </w:r>
      <w:bookmarkStart w:id="183" w:name="_Toc30381"/>
    </w:p>
    <w:p>
      <w:pPr>
        <w:pStyle w:val="2"/>
        <w:keepNext/>
        <w:keepLines/>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r>
        <w:rPr>
          <w:rFonts w:hint="default" w:ascii="Times New Roman" w:hAnsi="Times New Roman" w:eastAsia="方正黑体简体" w:cs="Times New Roman"/>
          <w:color w:val="000000"/>
          <w:spacing w:val="0"/>
          <w:sz w:val="32"/>
          <w:szCs w:val="32"/>
          <w:lang w:val="en-US" w:eastAsia="zh-CN"/>
        </w:rPr>
        <w:t>第二节  实施乡村建设行动</w:t>
      </w:r>
      <w:bookmarkEnd w:id="183"/>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突出乡村建设在现代化建设中的重要位置，加快补齐乡村建设发展短板，推进美丽乡村宜居建设。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推进乡村规划建设。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吴忠市村庄规划条例》，优化乡村空间发展，按照城乡融合、聚集提升、特色保护、搬迁撤并、整治改善5类，分类施策，加强规划引导，协调永久性基本农田保护与乡村振兴发展，腾退空心村，推动村庄向中心村、乡镇科学聚集，合理确定村庄布点和建设规模，因地制宜布局建设基础设施和公共服务网络，维护农村居住、生产、生态、文化等多种功能，形成分类递进、适度集聚、生产便捷、生活舒适的村庄分布格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改善农村人居环境。</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实施农村人居环境整治提升行动，因地制宜推进农村改厕、生活垃圾无害化处理和污水处理，加快推进村内绿化、围村片林和农田林网建设，积极整治公共空间和庭院环境，开展农村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美丽庭院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创建工作。到2025年，全市基本农田林网控制率达到92%以上，市级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美丽庭院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占比达到60%，80%以上村庄建成生态宜居美丽村庄。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提升农村基础设施。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实施县乡道升级改造、自然村通畅、农村公路延伸及联网等工程，强化农村公路与干线公路、村内道路衔接，推进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四好农村路</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实现所有村庄主干道、自然村内主巷道全部硬化。提升农村客运服务水平，深入开展城乡交通运输一体化示范县创建。加快城乡供水工程建设，推进城乡供水同源、同质、同价，实现城乡水务一体化。完善区域电网结构，重点镇和一般镇完善建设35KV小变电站，110KV变电站全部实现双电源、双回路供电，县城中低压配电网线路全部达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手拉手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环网供电要求，提升乡村居民用电保障能力。推进农村天然气建设，将有条件的镇办和村（社区）纳入天然气使用范围。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推进乡村人才振兴。</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两个带头人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工程，选优配强村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班子，实现行政村第一书记选派全覆盖。实施高素质农民培养工程和农村劳动力就业能力提升行动，培养一支懂农业、爱农村、爱农民的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作队伍。鼓励支持科技特派员携带科技、信息、资金、管理等现代生产要素，深入到农村基层开展创新创业服务，实现科技特派员服务全覆盖。实施返乡下乡创业行动，完善对返乡下乡人员创业补贴、融资、场地、培训等扶持政策。建立健全乡村人才储备库，组建乡村人才党组织或企业家等协会，发挥党组织引领作用，凝聚乡村振兴人才合力。</w:t>
      </w:r>
    </w:p>
    <w:p>
      <w:pPr>
        <w:pStyle w:val="2"/>
        <w:keepNext/>
        <w:keepLines/>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84" w:name="_Toc8284"/>
      <w:r>
        <w:rPr>
          <w:rFonts w:hint="default" w:ascii="Times New Roman" w:hAnsi="Times New Roman" w:eastAsia="方正黑体简体" w:cs="Times New Roman"/>
          <w:color w:val="000000"/>
          <w:spacing w:val="0"/>
          <w:sz w:val="32"/>
          <w:szCs w:val="32"/>
          <w:lang w:val="en-US" w:eastAsia="zh-CN"/>
        </w:rPr>
        <w:t>第三节  巩固脱贫攻坚成果</w:t>
      </w:r>
      <w:bookmarkEnd w:id="184"/>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保持</w:t>
      </w:r>
      <w:r>
        <w:rPr>
          <w:rFonts w:hint="default" w:ascii="Times New Roman" w:hAnsi="Times New Roman" w:eastAsia="方正仿宋_GBK" w:cs="Times New Roman"/>
          <w:color w:val="000000" w:themeColor="text1"/>
          <w:highlight w:val="none"/>
          <w14:textFill>
            <w14:solidFill>
              <w14:schemeClr w14:val="tx1"/>
            </w14:solidFill>
          </w14:textFill>
        </w:rPr>
        <w:t>脱贫攻坚政策总体稳定</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严格落实</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四个不摘</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要求，创新接续发展支持政策，巩固脱贫攻坚成果，推动全面脱贫与乡村振兴有效衔接。</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构建稳定脱贫长效机制。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化拓展盐同红集中连片区脱贫致富的经验做法，打破区域层级界限，继续加大政策、项目、资金支持力度，打造盐同红集中连片区脱贫攻坚与乡村振兴衔接示范区域。健全完善防止返贫监测和帮扶机制，强化对边缘易致贫人口和脱贫不稳定人口的动态监测和预警，加强动态帮扶防止返贫，及时排查解决返贫致贫风险。持续加大产业扶持、金融支持、素质提升、社会帮扶工作力度，大力发展富农增收产业。争取将红寺堡区、盐池县、同心县列入国家集中支持西部地区乡村振兴重点帮扶县。加强扶贫资金资产管理，健全完善管理制度，确保资金资产安全并发挥效益。继续发挥闽宁对口协作、定点帮扶和社会力量帮扶作用，推动脱贫地区经济社会可持续高质量发展。</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加大移民搬迁后续扶持力度。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产业、就业和社会融入三个重点，加强政策引导和投入力度，推动移民区特色种养业提质增效，完善带贫减贫机制，稳定增加移民生产经营性收入；加强就业服务和技能培训，多措并举扩大移民就业，持续稳定增加工资性收入。扎实推动移民村基层治理，通过加强社会管理等措施，推动移民尽快融入当地生活，增强获得感和融入感。深入开展盐同红移民社会融入等九项示范工程，重点打造红寺堡区全国易地搬迁移民致富提升示范区。</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加强农村低收入人口分类帮扶。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立农村低收入人口监测和精准帮扶机制，有针对性地制定落实分类帮扶措施。完善最低生活保障制度和农村特困人员救助供养制度，逐步提升农村最低生活保障范围和标准，进一步夯实医疗保障救助托底基础，完善养老保障和儿童关爱服务。</w:t>
      </w:r>
    </w:p>
    <w:p>
      <w:pPr>
        <w:pStyle w:val="2"/>
        <w:keepNext w:val="0"/>
        <w:keepLines w:val="0"/>
        <w:pageBreakBefore w:val="0"/>
        <w:widowControl w:val="0"/>
        <w:kinsoku/>
        <w:wordWrap/>
        <w:overflowPunct/>
        <w:topLinePunct w:val="0"/>
        <w:autoSpaceDE/>
        <w:autoSpaceDN/>
        <w:bidi w:val="0"/>
        <w:adjustRightInd/>
        <w:snapToGrid/>
        <w:spacing w:before="240" w:after="240" w:line="580" w:lineRule="exact"/>
        <w:ind w:left="0" w:leftChars="0" w:right="0" w:rightChars="0" w:firstLine="0" w:firstLineChars="0"/>
        <w:jc w:val="center"/>
        <w:textAlignment w:val="auto"/>
        <w:rPr>
          <w:rFonts w:hint="default" w:ascii="Times New Roman" w:hAnsi="Times New Roman" w:eastAsia="方正黑体简体" w:cs="Times New Roman"/>
          <w:color w:val="000000"/>
          <w:spacing w:val="0"/>
          <w:sz w:val="32"/>
          <w:szCs w:val="32"/>
          <w:lang w:val="en-US" w:eastAsia="zh-CN"/>
        </w:rPr>
      </w:pPr>
      <w:bookmarkStart w:id="185" w:name="_Toc6456"/>
      <w:r>
        <w:rPr>
          <w:rFonts w:hint="default" w:ascii="Times New Roman" w:hAnsi="Times New Roman" w:eastAsia="方正黑体简体" w:cs="Times New Roman"/>
          <w:color w:val="000000"/>
          <w:spacing w:val="0"/>
          <w:sz w:val="32"/>
          <w:szCs w:val="32"/>
          <w:lang w:val="en-US" w:eastAsia="zh-CN"/>
        </w:rPr>
        <w:t>第四节  持续深化农村改革</w:t>
      </w:r>
      <w:bookmarkEnd w:id="185"/>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w:t>
      </w:r>
      <w:r>
        <w:rPr>
          <w:rFonts w:hint="default" w:ascii="Times New Roman" w:hAnsi="Times New Roman" w:eastAsia="方正仿宋_GBK" w:cs="Times New Roman"/>
          <w:color w:val="000000" w:themeColor="text1"/>
          <w:highlight w:val="none"/>
          <w14:textFill>
            <w14:solidFill>
              <w14:schemeClr w14:val="tx1"/>
            </w14:solidFill>
          </w14:textFill>
        </w:rPr>
        <w:t>面深化新时代农村改革，进一步激活农村资源要素、激发农业内生动力。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深入推进农村土地制度改革。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完善农村承包地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三权分置</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制度，落实好第二轮土地承包到期后再延长30年的政策，让农民吃上长效</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定心丸</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所有权、稳定承包权、放活经营权，依托市、县、乡三级农村产权交易平台，坚持依法自愿有偿，稳妥推进农村土地经营权流转交易。积极探索实施农村集体经营性建设用地入市制度，加快建立城乡统一的建设用地市场，形成公平合理的增值收益分配机制。稳慎推进农村宅基地制度改革，支持农村集体经济组织及其成员采取自营、出租、入股、合作等多种方式盘活利用农村闲置宅基地和闲置住宅，重点用于支持乡村新产业新业态发展和返乡下乡创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深化农村集体产权制度改革。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明确农村集体资产所有权，加强集体资产监督管理，建立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归属清晰、权责明确、利益共享、保护严格、流转规范、监管有力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的农村集体经济组织产权制度。深化集体经营性资产股份合作制改革、集体林权改革、水权改革，加快推进农村产权交易改革试点，盘活农村资产资源，发展壮大新型农村集体经济。</w:t>
      </w:r>
    </w:p>
    <w:p>
      <w:pPr>
        <w:keepNext w:val="0"/>
        <w:keepLines w:val="0"/>
        <w:pageBreakBefore w:val="0"/>
        <w:widowControl w:val="0"/>
        <w:kinsoku/>
        <w:wordWrap/>
        <w:overflowPunct/>
        <w:topLinePunct w:val="0"/>
        <w:autoSpaceDE/>
        <w:autoSpaceDN/>
        <w:bidi w:val="0"/>
        <w:adjustRightInd/>
        <w:snapToGrid/>
        <w:spacing w:after="157" w:afterLines="50" w:line="58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健全完善农村金融服务体系。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加大金融服务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力度，稳妥有序推进宅基地等抵押融资，探索开展奶牛、肉牛等活体抵押和葡萄酒等农产品质押贷款，支持发展乡村普惠金融。建立健全多层次农业保险体系，积极争取开展主粮作物完全成本保险和收入保险试点。</w:t>
      </w:r>
    </w:p>
    <w:p>
      <w:pPr>
        <w:pStyle w:val="2"/>
        <w:rPr>
          <w:rFonts w:hint="default"/>
          <w:lang w:val="en-US" w:eastAsia="zh-CN"/>
        </w:rPr>
      </w:pPr>
    </w:p>
    <w:tbl>
      <w:tblPr>
        <w:tblStyle w:val="27"/>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015" w:type="dxa"/>
            <w:vAlign w:val="top"/>
          </w:tcPr>
          <w:p>
            <w:pPr>
              <w:pStyle w:val="34"/>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乡村振兴</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1.良种繁育能力提升工程：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马铃薯种薯繁育及主食化专用品种示范推广项目；盐池县国家级小杂粮繁育基地建设项目。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2.美丽宜居乡村建设工程：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传统村落保护，森林乡村、美丽乡村建设项目；村庄绿化项目；庭院经济林建设项目；抗震宜居农房建设改造项目；村庄公共空间整治项目。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3.农村基础设施提升工程：</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四好农村路</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建设项目，农村公路及自然村道路硬化改造升级项目；城乡公交一体化项目；农村饮水安全巩固提升工程；农村供水管网改造提升工程；水源工程建设项目；农村信息化服务项目。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highlight w:val="none"/>
                <w:vertAlign w:val="baseline"/>
                <w:lang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4.农村人居环境整治工程：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城乡垃圾收集转运工程；标准化垃圾填埋场建设项目；村庄垃圾分类治理项目；农村生活垃圾处理设施建设项目；农村污水处理设施和配套管网完善工程；农村火炕改造项目；村容村貌提升工程；农村厕所改造项目。</w:t>
            </w:r>
          </w:p>
        </w:tc>
      </w:tr>
    </w:tbl>
    <w:p>
      <w:pPr>
        <w:rPr>
          <w:rFonts w:hint="default" w:ascii="Times New Roman" w:hAnsi="Times New Roman" w:eastAsia="黑体" w:cs="Times New Roman"/>
          <w:bCs/>
          <w:color w:val="000000"/>
          <w:spacing w:val="0"/>
          <w:kern w:val="2"/>
          <w:sz w:val="32"/>
          <w:szCs w:val="32"/>
          <w:lang w:val="en-US" w:eastAsia="zh-CN" w:bidi="ar-SA"/>
        </w:rPr>
      </w:pPr>
      <w:bookmarkStart w:id="186" w:name="_Toc21852"/>
      <w:r>
        <w:rPr>
          <w:rFonts w:hint="default" w:ascii="Times New Roman" w:hAnsi="Times New Roman" w:eastAsia="黑体" w:cs="Times New Roman"/>
          <w:bCs/>
          <w:color w:val="000000"/>
          <w:spacing w:val="0"/>
          <w:kern w:val="2"/>
          <w:sz w:val="32"/>
          <w:szCs w:val="32"/>
          <w:lang w:val="en-US" w:eastAsia="zh-CN" w:bidi="ar-SA"/>
        </w:rPr>
        <w:br w:type="page"/>
      </w:r>
    </w:p>
    <w:p>
      <w:pPr>
        <w:pStyle w:val="3"/>
        <w:keepNext/>
        <w:keepLines/>
        <w:pageBreakBefore w:val="0"/>
        <w:widowControl w:val="0"/>
        <w:kinsoku/>
        <w:wordWrap/>
        <w:overflowPunct/>
        <w:topLinePunct w:val="0"/>
        <w:autoSpaceDE/>
        <w:autoSpaceDN/>
        <w:bidi w:val="0"/>
        <w:adjustRightInd/>
        <w:snapToGrid/>
        <w:spacing w:before="24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Cs/>
          <w:color w:val="000000"/>
          <w:spacing w:val="0"/>
          <w:kern w:val="2"/>
          <w:sz w:val="32"/>
          <w:szCs w:val="32"/>
          <w:lang w:val="en-US" w:eastAsia="zh-CN" w:bidi="ar-SA"/>
        </w:rPr>
        <w:t>第七章  优化国土空间布局  构建城乡一体化发展新格局</w:t>
      </w:r>
      <w:bookmarkEnd w:id="18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大力实施以人为核心的新型城镇化战略，统筹推进城乡融合、区域协调发展，促进资源要素聚集、优势互补，围绕打造</w:t>
      </w:r>
      <w:r>
        <w:rPr>
          <w:rFonts w:hint="default" w:ascii="Times New Roman" w:hAnsi="Times New Roman" w:eastAsia="方正仿宋_GBK" w:cs="Times New Roman"/>
          <w:color w:val="000000" w:themeColor="text1"/>
          <w:highlight w:val="none"/>
          <w14:textFill>
            <w14:solidFill>
              <w14:schemeClr w14:val="tx1"/>
            </w14:solidFill>
          </w14:textFill>
        </w:rPr>
        <w:t>黄河金岸亮丽生态城市</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加快推进利青同城发展</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w:t>
      </w:r>
      <w:r>
        <w:rPr>
          <w:rFonts w:hint="default" w:ascii="Times New Roman" w:hAnsi="Times New Roman" w:eastAsia="方正仿宋_GBK" w:cs="Times New Roman"/>
          <w:color w:val="000000" w:themeColor="text1"/>
          <w:highlight w:val="none"/>
          <w14:textFill>
            <w14:solidFill>
              <w14:schemeClr w14:val="tx1"/>
            </w14:solidFill>
          </w14:textFill>
        </w:rPr>
        <w:t>先进制造</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业</w:t>
      </w:r>
      <w:r>
        <w:rPr>
          <w:rFonts w:hint="default" w:ascii="Times New Roman" w:hAnsi="Times New Roman" w:eastAsia="方正仿宋_GBK" w:cs="Times New Roman"/>
          <w:color w:val="000000" w:themeColor="text1"/>
          <w:highlight w:val="none"/>
          <w14:textFill>
            <w14:solidFill>
              <w14:schemeClr w14:val="tx1"/>
            </w14:solidFill>
          </w14:textFill>
        </w:rPr>
        <w:t>、特色食品和健康休闲城市。</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87" w:name="_Toc26892"/>
      <w:bookmarkStart w:id="188" w:name="_Toc20121"/>
      <w:bookmarkStart w:id="189" w:name="_Toc21363"/>
      <w:r>
        <w:rPr>
          <w:rFonts w:hint="default" w:ascii="Times New Roman" w:hAnsi="Times New Roman" w:eastAsia="方正黑体简体" w:cs="Times New Roman"/>
          <w:color w:val="000000"/>
          <w:spacing w:val="0"/>
          <w:sz w:val="32"/>
          <w:szCs w:val="32"/>
          <w:lang w:val="en-US" w:eastAsia="zh-CN"/>
        </w:rPr>
        <w:t xml:space="preserve">第一节 </w:t>
      </w:r>
      <w:bookmarkEnd w:id="187"/>
      <w:r>
        <w:rPr>
          <w:rFonts w:hint="default" w:ascii="Times New Roman" w:hAnsi="Times New Roman" w:eastAsia="方正黑体简体" w:cs="Times New Roman"/>
          <w:color w:val="000000"/>
          <w:spacing w:val="0"/>
          <w:sz w:val="32"/>
          <w:szCs w:val="32"/>
          <w:lang w:val="en-US" w:eastAsia="zh-CN"/>
        </w:rPr>
        <w:t xml:space="preserve"> 优化国土空间开发保护</w:t>
      </w:r>
      <w:bookmarkEnd w:id="188"/>
      <w:r>
        <w:rPr>
          <w:rFonts w:hint="default" w:ascii="Times New Roman" w:hAnsi="Times New Roman" w:eastAsia="方正黑体简体" w:cs="Times New Roman"/>
          <w:color w:val="000000"/>
          <w:spacing w:val="0"/>
          <w:sz w:val="32"/>
          <w:szCs w:val="32"/>
          <w:lang w:val="en-US" w:eastAsia="zh-CN"/>
        </w:rPr>
        <w:t>格局</w:t>
      </w:r>
      <w:bookmarkEnd w:id="18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坚持人口资源环境相均衡，经济社会生态发展相统一，整体推进国土空间开发保护，划准划优划实生态保护红线、永久基本农田、城镇开发边界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三条红线</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，全面开展国土空间总体规划、相关专项规划和详细规划编制，构建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三级三类</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吴忠国土空间规划体系，用规划管活动、保自然、促修复，增强市县规划的实施性，强化城镇详细规划和村庄规划的可操作性，实现区市县三级有效贯通，总详专三类规划有效衔接。以资源环境承载能力、国土空间适宜性评价为基础，统筹布局生态、生产、生活功能空间，统筹各类空间内部用地安排。建立国土空间规划数据库，形成国土空间</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一张图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黑体简体" w:cs="Times New Roman"/>
          <w:color w:val="000000"/>
          <w:spacing w:val="0"/>
          <w:sz w:val="32"/>
          <w:szCs w:val="32"/>
          <w:lang w:val="en-US" w:eastAsia="zh-CN"/>
        </w:rPr>
      </w:pPr>
      <w:bookmarkStart w:id="190" w:name="_Toc3480"/>
      <w:r>
        <w:rPr>
          <w:rFonts w:hint="default" w:ascii="Times New Roman" w:hAnsi="Times New Roman" w:eastAsia="方正黑体简体" w:cs="Times New Roman"/>
          <w:color w:val="000000"/>
          <w:spacing w:val="0"/>
          <w:sz w:val="32"/>
          <w:szCs w:val="32"/>
          <w:lang w:val="en-US" w:eastAsia="zh-CN"/>
        </w:rPr>
        <w:t>第二节  推动城乡融合区域协调发展</w:t>
      </w:r>
      <w:bookmarkEnd w:id="190"/>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Cs w:val="30"/>
          <w:highlight w:val="none"/>
          <w:lang w:val="en-US" w:eastAsia="zh-CN"/>
          <w14:textFill>
            <w14:solidFill>
              <w14:schemeClr w14:val="tx1"/>
            </w14:solidFill>
          </w14:textFill>
        </w:rPr>
      </w:pPr>
      <w:bookmarkStart w:id="191" w:name="_Toc19523"/>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立足产业发展基础和资源环境容量，健全市场一体化发展、区域合作互助等机制，</w:t>
      </w:r>
      <w:r>
        <w:rPr>
          <w:rFonts w:hint="default" w:ascii="Times New Roman" w:hAnsi="Times New Roman" w:eastAsia="方正仿宋_GBK" w:cs="Times New Roman"/>
          <w:color w:val="000000" w:themeColor="text1"/>
          <w:highlight w:val="none"/>
          <w14:textFill>
            <w14:solidFill>
              <w14:schemeClr w14:val="tx1"/>
            </w14:solidFill>
          </w14:textFill>
        </w:rPr>
        <w:t>增强发展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协同性、联动性和</w:t>
      </w:r>
      <w:r>
        <w:rPr>
          <w:rFonts w:hint="default" w:ascii="Times New Roman" w:hAnsi="Times New Roman" w:eastAsia="方正仿宋_GBK" w:cs="Times New Roman"/>
          <w:color w:val="000000" w:themeColor="text1"/>
          <w:highlight w:val="none"/>
          <w14:textFill>
            <w14:solidFill>
              <w14:schemeClr w14:val="tx1"/>
            </w14:solidFill>
          </w14:textFill>
        </w:rPr>
        <w:t>整体性，</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构建区域错位发展、协调发展新体系。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2" w:name="_Toc7708"/>
      <w:r>
        <w:rPr>
          <w:rFonts w:hint="default" w:ascii="Times New Roman" w:hAnsi="Times New Roman" w:cs="Times New Roman"/>
          <w:color w:val="000000" w:themeColor="text1"/>
          <w:highlight w:val="none"/>
          <w:lang w:val="en-US" w:eastAsia="zh-CN"/>
          <w14:textFill>
            <w14:solidFill>
              <w14:schemeClr w14:val="tx1"/>
            </w14:solidFill>
          </w14:textFill>
        </w:rPr>
        <w:t>一、加快推进利青同城发展</w:t>
      </w:r>
      <w:bookmarkEnd w:id="191"/>
      <w:bookmarkEnd w:id="192"/>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扎实推动利通区和青铜峡市</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一河两岸、双城一体</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同城化发展，推动公交同城、设施相连、生态共保、服务共享和文化旅游共建，实施S20线吴灵青北环高速等项目建设，推动快速干道联通，逐步完善黄河两岸基础设施，建设黄河西岸商贸、休闲、文旅为一体的商业带。强化社区、学校、医院等公共服务设施建设，提升城市建设质量和综合服务功能。做大做强中心城区，以推进重大项目、重大平台、重大产业为抓手，建设商贸物流、文化旅游、餐饮娱乐、商务会展、休闲养生中心，创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商贸物流、文化旅游、休闲购物、科技会展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名城，提升城市综合承载能力和辐射带动能力。</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b w:val="0"/>
          <w:bCs/>
          <w:color w:val="000000" w:themeColor="text1"/>
          <w:highlight w:val="none"/>
          <w:lang w:val="en-US" w:eastAsia="zh-CN"/>
          <w14:textFill>
            <w14:solidFill>
              <w14:schemeClr w14:val="tx1"/>
            </w14:solidFill>
          </w14:textFill>
        </w:rPr>
      </w:pPr>
      <w:bookmarkStart w:id="193" w:name="_Toc4722"/>
      <w:bookmarkStart w:id="194" w:name="_Toc24458"/>
      <w:bookmarkStart w:id="195" w:name="_Toc23333"/>
      <w:r>
        <w:rPr>
          <w:rFonts w:hint="default" w:ascii="Times New Roman" w:hAnsi="Times New Roman" w:cs="Times New Roman"/>
          <w:b w:val="0"/>
          <w:bCs/>
          <w:color w:val="000000" w:themeColor="text1"/>
          <w:highlight w:val="none"/>
          <w:lang w:val="en-US" w:eastAsia="zh-CN"/>
          <w14:textFill>
            <w14:solidFill>
              <w14:schemeClr w14:val="tx1"/>
            </w14:solidFill>
          </w14:textFill>
        </w:rPr>
        <w:t>二、推进</w:t>
      </w:r>
      <w:bookmarkEnd w:id="193"/>
      <w:r>
        <w:rPr>
          <w:rFonts w:hint="default" w:ascii="Times New Roman" w:hAnsi="Times New Roman" w:cs="Times New Roman"/>
          <w:b w:val="0"/>
          <w:bCs/>
          <w:color w:val="000000" w:themeColor="text1"/>
          <w:highlight w:val="none"/>
          <w:lang w:val="en-US" w:eastAsia="zh-CN"/>
          <w14:textFill>
            <w14:solidFill>
              <w14:schemeClr w14:val="tx1"/>
            </w14:solidFill>
          </w14:textFill>
        </w:rPr>
        <w:t>盐同红连片区一体化发展</w:t>
      </w:r>
      <w:bookmarkEnd w:id="194"/>
      <w:bookmarkEnd w:id="195"/>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托各县（区）特色资源和优势，促进盐同红集中连片区差异化协同、可持续融合发展。在连片区开展脱贫攻坚与乡村振兴战略有效衔接试点，增强区域发展内生动力、加快补齐发展短板。产业发展统一规划、整体布局，打造区域公用品牌。加强交通互联互通，完善水电、供热等配套基础设施，推动教育、医疗等优质资源下沉、服务中心下移。在财政投入上优先保障，在公共服务上优先安排，在要素配置上优先满足，实现连片区振兴发展。</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8771"/>
      <w:bookmarkStart w:id="197" w:name="_Toc5629"/>
      <w:r>
        <w:rPr>
          <w:rFonts w:hint="default" w:ascii="Times New Roman" w:hAnsi="Times New Roman" w:cs="Times New Roman"/>
          <w:color w:val="000000" w:themeColor="text1"/>
          <w:highlight w:val="none"/>
          <w:lang w:val="en-US" w:eastAsia="zh-CN"/>
          <w14:textFill>
            <w14:solidFill>
              <w14:schemeClr w14:val="tx1"/>
            </w14:solidFill>
          </w14:textFill>
        </w:rPr>
        <w:t>三、创新城镇群协同融合发展</w:t>
      </w:r>
      <w:bookmarkEnd w:id="196"/>
      <w:bookmarkEnd w:id="197"/>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按照集聚协调、主业突出、特色鲜明原则，加快金积—峡口—青铜峡镇、太阳山—惠安堡—韦州—下马关两个区域中心城镇群一体化规划、组团式发展、协同性建设。共同抓好基础设施建设、特色产业发展、生态环境保护和公共服务提升，促进资源、人口等要素集聚流动，打造城乡融合、产城融合双轮驱动下高质量城镇群新引擎。</w:t>
      </w:r>
      <w:bookmarkStart w:id="198" w:name="_Toc26127"/>
      <w:bookmarkStart w:id="199" w:name="_Toc10549"/>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0" w:name="_Toc5766"/>
      <w:r>
        <w:rPr>
          <w:rFonts w:hint="default" w:ascii="Times New Roman" w:hAnsi="Times New Roman" w:eastAsia="方正黑体简体" w:cs="Times New Roman"/>
          <w:color w:val="000000"/>
          <w:spacing w:val="0"/>
          <w:sz w:val="32"/>
          <w:szCs w:val="32"/>
          <w:lang w:val="en-US" w:eastAsia="zh-CN"/>
        </w:rPr>
        <w:t xml:space="preserve">第三节 </w:t>
      </w:r>
      <w:bookmarkEnd w:id="198"/>
      <w:r>
        <w:rPr>
          <w:rFonts w:hint="default" w:ascii="Times New Roman" w:hAnsi="Times New Roman" w:eastAsia="方正黑体简体" w:cs="Times New Roman"/>
          <w:color w:val="000000"/>
          <w:spacing w:val="0"/>
          <w:sz w:val="32"/>
          <w:szCs w:val="32"/>
          <w:lang w:val="en-US" w:eastAsia="zh-CN"/>
        </w:rPr>
        <w:t xml:space="preserve"> 推进以人为核心的新型城镇化</w:t>
      </w:r>
      <w:bookmarkEnd w:id="199"/>
      <w:bookmarkEnd w:id="200"/>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201" w:name="_Toc18294"/>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坚持以人为本，更加关注人的需求，合理确定城镇规模、人口密度和功能定位，优化以利青同城为主体、县城为支撑、小城镇为节点的城镇体系，切实提高城镇化质量。</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b w:val="0"/>
          <w:bCs/>
          <w:color w:val="000000" w:themeColor="text1"/>
          <w:highlight w:val="none"/>
          <w:lang w:val="en-US" w:eastAsia="zh-CN"/>
          <w14:textFill>
            <w14:solidFill>
              <w14:schemeClr w14:val="tx1"/>
            </w14:solidFill>
          </w14:textFill>
        </w:rPr>
      </w:pPr>
      <w:bookmarkStart w:id="202" w:name="_Toc11497"/>
      <w:r>
        <w:rPr>
          <w:rFonts w:hint="default" w:ascii="Times New Roman" w:hAnsi="Times New Roman" w:cs="Times New Roman"/>
          <w:b w:val="0"/>
          <w:bCs/>
          <w:color w:val="000000" w:themeColor="text1"/>
          <w:highlight w:val="none"/>
          <w:lang w:val="en-US" w:eastAsia="zh-CN"/>
          <w14:textFill>
            <w14:solidFill>
              <w14:schemeClr w14:val="tx1"/>
            </w14:solidFill>
          </w14:textFill>
        </w:rPr>
        <w:t>一、提升中心城区功能品质</w:t>
      </w:r>
      <w:bookmarkEnd w:id="201"/>
      <w:bookmarkEnd w:id="202"/>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综合提升城区服务功能。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贯彻落实绿色发展理念，开展绿地织补、交通改善、公共空间、幸福安居等重点工作，出台《城市更新条例》，力争创建城市更新城区试点。修复城市自然环境、空间环境、景观风貌，逐步提升城市生态系统自我调节功能；完善城市功能设施和服务设施，改善人居环境质量，加强交通、施工、社会生活等重点领域环境噪声污染防治，建立健全全市声环境质量及噪声污染排放集中监测监控管理模式，切实解决噪声扰民突出问题，提高声环境质量水平，建设安静城市，全面提升城市宜居环境和品质活力。</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推动城市东片区综合开发。</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高起点规划、高标准建设、高强度投入，重点发展高端服务、旅游集散、先进教育产业和商贸物流基地，做大枢纽经济，不断提升设施服务、产业发展、人口集聚、政策配套等支撑能力。促进城市东片区空间合理布局，加快路网建设，完善水、电、气、暖基础设施，推动高铁片区与主城区协同开发、良性互动，精心打造成吴忠综合交通枢纽、高端产业平台、城市东部门户和宜居生活社区。</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深入推进社区品质提升。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加大老旧小区改造力度，切实改善老旧小区居民居住环境。建立多渠道资金筹措机制，逐年分步改造，在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期间基本完成2000年以前待改造小区，启动2005年以前老旧小区改造任务。利用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互联网+共建共治</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新城镇老旧小区治理和长效管理机制，确保老旧小区常维常新、长效运行。加快完善小区配套设施，提升社区养老、托育、医疗等公共服务水平，提高街道、业委会、物业管理水平，改善人居环境质量，提升居民幸福指数。</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3" w:name="_Toc24634"/>
      <w:bookmarkStart w:id="204" w:name="_Toc15203"/>
      <w:r>
        <w:rPr>
          <w:rFonts w:hint="default" w:ascii="Times New Roman" w:hAnsi="Times New Roman" w:cs="Times New Roman"/>
          <w:color w:val="000000" w:themeColor="text1"/>
          <w:highlight w:val="none"/>
          <w:lang w:val="en-US" w:eastAsia="zh-CN"/>
          <w14:textFill>
            <w14:solidFill>
              <w14:schemeClr w14:val="tx1"/>
            </w14:solidFill>
          </w14:textFill>
        </w:rPr>
        <w:t>二、加快建设活力县城</w:t>
      </w:r>
      <w:bookmarkEnd w:id="203"/>
      <w:bookmarkEnd w:id="204"/>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突出盐同红引领清水河产业带和中部干旱带节点城镇发展，优化县城空间格局，加快推进县城城镇化补短板强弱项</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大力提升县城公共设施和服务能力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增强辐射带动能力，吸引更多农村人口向县城集聚。</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红寺堡区。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红寺堡区以生态农业、文化旅游为主，建设以移民文化为特征的生态农业强县。强化基础设施建设投入，</w:t>
      </w:r>
      <w:r>
        <w:rPr>
          <w:rFonts w:hint="default" w:ascii="Times New Roman" w:hAnsi="Times New Roman" w:eastAsia="方正仿宋_GBK" w:cs="Times New Roman"/>
          <w:color w:val="000000" w:themeColor="text1"/>
          <w:highlight w:val="none"/>
          <w14:textFill>
            <w14:solidFill>
              <w14:schemeClr w14:val="tx1"/>
            </w14:solidFill>
          </w14:textFill>
        </w:rPr>
        <w:t>加快建设宁夏中部宜居宜业宜游的美丽新区，建成</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贺兰山东麓</w:t>
      </w:r>
      <w:r>
        <w:rPr>
          <w:rFonts w:hint="default" w:ascii="Times New Roman" w:hAnsi="Times New Roman" w:eastAsia="方正仿宋_GBK" w:cs="Times New Roman"/>
          <w:color w:val="000000" w:themeColor="text1"/>
          <w:highlight w:val="none"/>
          <w14:textFill>
            <w14:solidFill>
              <w14:schemeClr w14:val="tx1"/>
            </w14:solidFill>
          </w14:textFill>
        </w:rPr>
        <w:t>优质葡萄酒</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明星产</w:t>
      </w:r>
      <w:r>
        <w:rPr>
          <w:rFonts w:hint="default" w:ascii="Times New Roman" w:hAnsi="Times New Roman" w:eastAsia="方正仿宋_GBK" w:cs="Times New Roman"/>
          <w:color w:val="000000" w:themeColor="text1"/>
          <w:highlight w:val="none"/>
          <w14:textFill>
            <w14:solidFill>
              <w14:schemeClr w14:val="tx1"/>
            </w14:solidFill>
          </w14:textFill>
        </w:rPr>
        <w:t>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盐池县。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发挥盐池在定边、鄂托克前旗与银川连接的门户和枢纽作用，强化与周边地区的产业链带动功能，提升产业集聚能力和发展水平，建设面向陕甘蒙区域协作发展的桥头堡，打造宁夏工业转型高质量发展示范区。</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同心县。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加强与沿清水河城镇产业发展带的城市协作，以羊绒加工、特色农产品加工为主，大力发展商贸物流、文化旅游产业，加快建设区域重要节点城市，建成宁夏县域经济高质量发展样板县和宁夏生态宜居宜业县城。</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5" w:name="_Toc26505"/>
      <w:bookmarkStart w:id="206" w:name="_Toc31642"/>
      <w:r>
        <w:rPr>
          <w:rFonts w:hint="default" w:ascii="Times New Roman" w:hAnsi="Times New Roman" w:cs="Times New Roman"/>
          <w:color w:val="000000" w:themeColor="text1"/>
          <w:highlight w:val="none"/>
          <w:lang w:val="en-US" w:eastAsia="zh-CN"/>
          <w14:textFill>
            <w14:solidFill>
              <w14:schemeClr w14:val="tx1"/>
            </w14:solidFill>
          </w14:textFill>
        </w:rPr>
        <w:t>三、推进重点城镇建设</w:t>
      </w:r>
      <w:bookmarkEnd w:id="205"/>
      <w:bookmarkEnd w:id="206"/>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发挥小城镇衔接城乡、联动工农作用，按照控制数量、提高质量、节约用地、体现特色的要求，有序推进重点镇培育建设。加强金积经济发达镇、太阳山能源化工新城建设，</w:t>
      </w:r>
      <w:r>
        <w:rPr>
          <w:rFonts w:hint="default" w:ascii="Times New Roman" w:hAnsi="Times New Roman" w:eastAsia="方正仿宋_GBK" w:cs="Times New Roman"/>
          <w:color w:val="000000" w:themeColor="text1"/>
          <w:highlight w:val="none"/>
          <w14:textFill>
            <w14:solidFill>
              <w14:schemeClr w14:val="tx1"/>
            </w14:solidFill>
          </w14:textFill>
        </w:rPr>
        <w:t>推动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工业园区与</w:t>
      </w:r>
      <w:r>
        <w:rPr>
          <w:rFonts w:hint="default" w:ascii="Times New Roman" w:hAnsi="Times New Roman" w:eastAsia="方正仿宋_GBK" w:cs="Times New Roman"/>
          <w:color w:val="000000" w:themeColor="text1"/>
          <w:highlight w:val="none"/>
          <w14:textFill>
            <w14:solidFill>
              <w14:schemeClr w14:val="tx1"/>
            </w14:solidFill>
          </w14:textFill>
        </w:rPr>
        <w:t>镇区一二三产业融合发展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打造</w:t>
      </w:r>
      <w:r>
        <w:rPr>
          <w:rFonts w:hint="default" w:ascii="Times New Roman" w:hAnsi="Times New Roman" w:eastAsia="方正仿宋_GBK" w:cs="Times New Roman"/>
          <w:color w:val="000000" w:themeColor="text1"/>
          <w:highlight w:val="none"/>
          <w14:textFill>
            <w14:solidFill>
              <w14:schemeClr w14:val="tx1"/>
            </w14:solidFill>
          </w14:textFill>
        </w:rPr>
        <w:t>宁夏产城融合示范镇</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重点发展中心镇，兼顾一般镇，加快建设一批工业重镇、商贸</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大</w:t>
      </w:r>
      <w:r>
        <w:rPr>
          <w:rFonts w:hint="default" w:ascii="Times New Roman" w:hAnsi="Times New Roman" w:eastAsia="方正仿宋_GBK" w:cs="Times New Roman"/>
          <w:color w:val="000000" w:themeColor="text1"/>
          <w:highlight w:val="none"/>
          <w14:textFill>
            <w14:solidFill>
              <w14:schemeClr w14:val="tx1"/>
            </w14:solidFill>
          </w14:textFill>
        </w:rPr>
        <w:t>镇</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农业强镇、</w:t>
      </w:r>
      <w:r>
        <w:rPr>
          <w:rFonts w:hint="default" w:ascii="Times New Roman" w:hAnsi="Times New Roman" w:eastAsia="方正仿宋_GBK" w:cs="Times New Roman"/>
          <w:color w:val="000000" w:themeColor="text1"/>
          <w:highlight w:val="none"/>
          <w14:textFill>
            <w14:solidFill>
              <w14:schemeClr w14:val="tx1"/>
            </w14:solidFill>
          </w14:textFill>
        </w:rPr>
        <w:t>文化旅游名镇，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实现城镇产业特而强、功能聚而合、形态小而美、机制新而活。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7" w:name="_Toc8130"/>
      <w:bookmarkStart w:id="208" w:name="_Toc237"/>
      <w:r>
        <w:rPr>
          <w:rFonts w:hint="default" w:ascii="Times New Roman" w:hAnsi="Times New Roman" w:cs="Times New Roman"/>
          <w:color w:val="000000" w:themeColor="text1"/>
          <w:highlight w:val="none"/>
          <w:lang w:val="en-US" w:eastAsia="zh-CN"/>
          <w14:textFill>
            <w14:solidFill>
              <w14:schemeClr w14:val="tx1"/>
            </w14:solidFill>
          </w14:textFill>
        </w:rPr>
        <w:t>四、推动城乡一体化发展</w:t>
      </w:r>
      <w:bookmarkEnd w:id="207"/>
      <w:bookmarkEnd w:id="208"/>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跨越城乡界限、工农界限、产业界限，鼓励城市工业如轻纺、日化、农机、食品等部分转移到乡村，为农民提供就近就业的机会，提高乡村综合生产力。建立国有资本进入乡村的激励机制，加快资源要素在城乡间流动，形成工农互促、城乡互补、全面融合、共同繁荣的新型工农城乡关系，加快乡村振兴进程。深化户籍制度改革，落实财政转移支付和城镇新增建设用地规模与农业转移人口市民化挂钩政策，统筹职住平衡、基础配套、公共服务，加快农业转移人口市民化。</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9" w:name="_Toc14042"/>
      <w:r>
        <w:rPr>
          <w:rFonts w:hint="default" w:ascii="Times New Roman" w:hAnsi="Times New Roman" w:eastAsia="方正黑体简体" w:cs="Times New Roman"/>
          <w:color w:val="000000"/>
          <w:spacing w:val="0"/>
          <w:sz w:val="32"/>
          <w:szCs w:val="32"/>
          <w:lang w:val="en-US" w:eastAsia="zh-CN"/>
        </w:rPr>
        <w:t>第四节  提升基础设施承载力</w:t>
      </w:r>
      <w:bookmarkEnd w:id="209"/>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坚持统筹城乡、强化功能、服务发展，加快构建系统完备、高效实用、智能绿色、安全可靠的现代化基础设施体系。</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构建便捷畅通综合交通体系。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围绕现有和在建高速公路、高速铁路，进一步完善市域路网布局，加强干线公路改造提升和快速通道建设，开展太中银铁路复线工程建设，抓好乌玛高速、银昆高速吴忠连接线改扩建，推动高铁片区开发、利青快速通道、109国道小坝过境段改建等重点项目建设，完善盐池通用机场各项配套设施，加快同心红寺堡通用机场建设，形成市域顺通、周边畅通、全国连通的综合交通体系。</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构建现代水网体系建设。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统筹治水、兴水、用水、节水，衔接做好陕甘宁革命老区供水工程前期工作。实施吴忠东线供水工程、苦水河综合治理工程、利通区和同心县城乡供水工程等，建设</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互联网+城乡供水</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示范区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和国家级节水型城市</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，加快推进现代化生态灌区试点建设及红寺堡、盐环定扬水续建配套与现代化改造，探索</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投建管服</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一体化新模式，统筹水资源调节使用，推进城乡用水向集约型、高效性、生态型转变。</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同步谋划黄河黑山峡水利枢纽地方配套工程和灌溉体系。</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到2025年，基本实现从源头到水龙头全过程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智能</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化控制。</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加强城市排涝工程。</w:t>
      </w:r>
      <w:r>
        <w:rPr>
          <w:rFonts w:hint="default" w:ascii="Times New Roman" w:hAnsi="Times New Roman" w:eastAsia="方正仿宋_GBK" w:cs="Times New Roman"/>
          <w:color w:val="000000" w:themeColor="text1"/>
          <w:highlight w:val="none"/>
          <w14:textFill>
            <w14:solidFill>
              <w14:schemeClr w14:val="tx1"/>
            </w14:solidFill>
          </w14:textFill>
        </w:rPr>
        <w:t>收集、贮存、处理、使用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雨洪水</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建设海绵城市，推进城市内部河网治理，完善城市地下排水管网布局，做好排水管网与河道的衔接。</w:t>
      </w:r>
      <w:r>
        <w:rPr>
          <w:rFonts w:hint="default" w:ascii="Times New Roman" w:hAnsi="Times New Roman" w:eastAsia="方正仿宋_GBK" w:cs="Times New Roman"/>
          <w:color w:val="000000" w:themeColor="text1"/>
          <w:highlight w:val="none"/>
          <w14:textFill>
            <w14:solidFill>
              <w14:schemeClr w14:val="tx1"/>
            </w14:solidFill>
          </w14:textFill>
        </w:rPr>
        <w:t>探索推进</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韧性城市</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建设，加强灾情预警、应急救援、物资储备等防灾减灾公共设施建设，提高城市抵御灾害能力。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到2025年，海绵城市建成区面积占比达到40%。</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构建低碳高效能源支撑体系。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统筹煤炭、电力、油气生产开发，提升多元能源供应保障能力。完善能源基础设施网络，实施既有煤炭通道扩能改造，建设青铜峡等煤炭储运中心，推进太阳山开发区热电联产。</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依托青石峁、定北气田建设，实施天然气管网互联互通工程，强化能源安全保障能力，将盐池县打造成全区天然气加工保障基地和国内氦气产业基地。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推动电动汽车充电设施建设，支持工商业建筑、居民建设独立光伏发电和光伏采暖，优化能源消费结构。</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加快完善信息基础设施。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打造宽带化、融合化、泛在化和安全可信的信息通信网络基础设施。加快推进高速光纤网络、互联网协议第六版（IPv6）规模部署，推进光纤入园区入企业，实现城镇千兆光纤和农村百兆光纤全覆盖。推进5G、大数据、人工智能等信息技术设施与传统基础设施融合发展。到2025年，5G基站数达到1500个，实现重点区域覆盖。</w:t>
      </w:r>
    </w:p>
    <w:p>
      <w:pPr>
        <w:keepNext w:val="0"/>
        <w:keepLines w:val="0"/>
        <w:pageBreakBefore w:val="0"/>
        <w:widowControl/>
        <w:kinsoku/>
        <w:wordWrap/>
        <w:overflowPunct/>
        <w:topLinePunct w:val="0"/>
        <w:autoSpaceDE/>
        <w:autoSpaceDN/>
        <w:bidi w:val="0"/>
        <w:adjustRightInd/>
        <w:snapToGrid/>
        <w:spacing w:line="340" w:lineRule="exact"/>
        <w:ind w:firstLine="640" w:firstLineChars="200"/>
        <w:textAlignment w:val="auto"/>
        <w:rPr>
          <w:rFonts w:hint="default" w:ascii="Times New Roman" w:hAnsi="Times New Roman" w:cs="Times New Roman"/>
          <w:color w:val="000000" w:themeColor="text1"/>
          <w:szCs w:val="32"/>
          <w:highlight w:val="none"/>
          <w:lang w:val="en-US" w:eastAsia="zh-CN"/>
          <w14:textFill>
            <w14:solidFill>
              <w14:schemeClr w14:val="tx1"/>
            </w14:solidFill>
          </w14:textFill>
        </w:rPr>
      </w:pPr>
    </w:p>
    <w:tbl>
      <w:tblPr>
        <w:tblStyle w:val="27"/>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4"/>
              <w:bidi w:val="0"/>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优化提升城市品质</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1.城市老旧小区改造项目：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利通区老旧小区改造项目；青铜峡镇老旧小区改造项目；盐池县南苑社区老旧小区改造配套基础设施项目。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2.城市道路改造提升项目：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高速路网完善工程：重点建设银昆高速（G85）吴忠段、乌玛高速（G1816）吴忠段、青银高速（G20）盐池（陕宁界）至高沙窝段改扩建工程、定武高速（G2012）盐池至中卫段改扩建工程、吴灵青北环高速公路（S20）等项目；普通国省干线公路提升工程：重点实施国道109线、344线、338线吴忠过境段升级改造，省道103线、310线、201线、202线、204线、307线、308线、309线吴忠过境段升级改造项目；跨河通道贯通工程：重点建设吴灵青北环高速新华桥黄河大桥项目；快速通道畅通工程：重点建设银昆高速吴忠连接线改扩建工程、滨河大道吴忠段改造提升工程、宁东至太阳山公路工程等项目。</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3.市政公用设施建设工程：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城区集中供热系统第二热源输送管网建设项目；广西天降燃气公司农村煤改气建设项目；吴忠市集中供热应急调峰热源项目；道路排水改造项目；盐池县城市公共停车场建设项目；同心县城乡天然气综合利用管道工程；同心县城乡330千伏输变电工程；同心县城乡天然气利用工程；同心县城区综合管沟建设项目；同心县城区生活垃圾减量化资源化处理工程。</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4.城市品质提升工程：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城市绿化项目；城市基础设施提标改造项目；巴浪湖社区商网楼建设项目；红寺堡区损坏道路及配套基础设施维修工程；盐池县（城区）绿化景观建设项目；同心县同心大道桥下绿化工程。</w:t>
            </w:r>
          </w:p>
          <w:p>
            <w:pPr>
              <w:pStyle w:val="31"/>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5.重点小城镇建设工程：</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滩羊小镇项目；冯记沟乡美丽小城镇项目；预旺特色小城镇项目；红寺堡区新庄集富硒农业小镇旅游开发建设项目；翼扬航空小镇项目。</w:t>
            </w:r>
          </w:p>
        </w:tc>
      </w:tr>
    </w:tbl>
    <w:p>
      <w:pPr>
        <w:pStyle w:val="3"/>
        <w:keepNext/>
        <w:keepLines/>
        <w:pageBreakBefore w:val="0"/>
        <w:widowControl w:val="0"/>
        <w:kinsoku/>
        <w:wordWrap/>
        <w:overflowPunct/>
        <w:topLinePunct w:val="0"/>
        <w:autoSpaceDE/>
        <w:autoSpaceDN/>
        <w:bidi w:val="0"/>
        <w:adjustRightInd/>
        <w:snapToGrid/>
        <w:spacing w:before="400" w:line="560" w:lineRule="exact"/>
        <w:textAlignment w:val="auto"/>
        <w:rPr>
          <w:rFonts w:hint="default" w:ascii="Times New Roman" w:hAnsi="Times New Roman" w:eastAsia="黑体" w:cs="Times New Roman"/>
          <w:bCs/>
          <w:color w:val="000000"/>
          <w:spacing w:val="0"/>
          <w:kern w:val="2"/>
          <w:sz w:val="32"/>
          <w:szCs w:val="32"/>
          <w:lang w:val="en-US" w:eastAsia="zh-CN" w:bidi="ar-SA"/>
        </w:rPr>
      </w:pPr>
      <w:bookmarkStart w:id="210" w:name="_Toc24835"/>
      <w:bookmarkStart w:id="211" w:name="_Toc29628"/>
      <w:r>
        <w:rPr>
          <w:rFonts w:hint="default" w:ascii="Times New Roman" w:hAnsi="Times New Roman" w:eastAsia="黑体" w:cs="Times New Roman"/>
          <w:bCs/>
          <w:color w:val="000000"/>
          <w:spacing w:val="0"/>
          <w:kern w:val="2"/>
          <w:sz w:val="32"/>
          <w:szCs w:val="32"/>
          <w:lang w:val="en-US" w:eastAsia="zh-CN" w:bidi="ar-SA"/>
        </w:rPr>
        <w:t xml:space="preserve"> </w:t>
      </w:r>
    </w:p>
    <w:p>
      <w:pPr>
        <w:rPr>
          <w:rFonts w:hint="default" w:ascii="Times New Roman" w:hAnsi="Times New Roman" w:eastAsia="黑体" w:cs="Times New Roman"/>
          <w:bCs/>
          <w:color w:val="000000"/>
          <w:spacing w:val="0"/>
          <w:kern w:val="2"/>
          <w:sz w:val="32"/>
          <w:szCs w:val="32"/>
          <w:lang w:val="en-US" w:eastAsia="zh-CN" w:bidi="ar-SA"/>
        </w:rPr>
      </w:pPr>
      <w:r>
        <w:rPr>
          <w:rFonts w:hint="default" w:ascii="Times New Roman" w:hAnsi="Times New Roman" w:eastAsia="黑体" w:cs="Times New Roman"/>
          <w:bCs/>
          <w:color w:val="000000"/>
          <w:spacing w:val="0"/>
          <w:kern w:val="2"/>
          <w:sz w:val="32"/>
          <w:szCs w:val="32"/>
          <w:lang w:val="en-US" w:eastAsia="zh-CN" w:bidi="ar-SA"/>
        </w:rPr>
        <w:br w:type="page"/>
      </w:r>
    </w:p>
    <w:p>
      <w:pPr>
        <w:pStyle w:val="3"/>
        <w:keepNext/>
        <w:keepLines/>
        <w:pageBreakBefore w:val="0"/>
        <w:widowControl w:val="0"/>
        <w:kinsoku/>
        <w:wordWrap/>
        <w:overflowPunct/>
        <w:topLinePunct w:val="0"/>
        <w:autoSpaceDE/>
        <w:autoSpaceDN/>
        <w:bidi w:val="0"/>
        <w:adjustRightInd/>
        <w:snapToGrid/>
        <w:spacing w:before="40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Cs/>
          <w:color w:val="000000"/>
          <w:spacing w:val="0"/>
          <w:kern w:val="2"/>
          <w:sz w:val="32"/>
          <w:szCs w:val="32"/>
          <w:lang w:val="en-US" w:eastAsia="zh-CN" w:bidi="ar-SA"/>
        </w:rPr>
        <w:t>第八章  加强生态环境保护  绘就绿色山水美丽吴忠新画卷</w:t>
      </w:r>
      <w:bookmarkEnd w:id="21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坚持绿水青山就是金山银山理念</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坚持尊重自然、顺应自然、保护自然，守好改善生态环境生命线</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共同抓好大保护，协同推进大治理，</w:t>
      </w:r>
      <w:r>
        <w:rPr>
          <w:rFonts w:hint="default" w:ascii="Times New Roman" w:hAnsi="Times New Roman" w:eastAsia="方正仿宋_GBK" w:cs="Times New Roman"/>
          <w:color w:val="000000" w:themeColor="text1"/>
          <w:highlight w:val="none"/>
          <w14:textFill>
            <w14:solidFill>
              <w14:schemeClr w14:val="tx1"/>
            </w14:solidFill>
          </w14:textFill>
        </w:rPr>
        <w:t>推动山水林田湖草</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沙</w:t>
      </w:r>
      <w:r>
        <w:rPr>
          <w:rFonts w:hint="default" w:ascii="Times New Roman" w:hAnsi="Times New Roman" w:eastAsia="方正仿宋_GBK" w:cs="Times New Roman"/>
          <w:color w:val="000000" w:themeColor="text1"/>
          <w:highlight w:val="none"/>
          <w14:textFill>
            <w14:solidFill>
              <w14:schemeClr w14:val="tx1"/>
            </w14:solidFill>
          </w14:textFill>
        </w:rPr>
        <w:t>综合治理</w:t>
      </w:r>
      <w:bookmarkStart w:id="212" w:name="_Toc27148"/>
      <w:bookmarkStart w:id="213" w:name="_Toc21457"/>
      <w:bookmarkStart w:id="214" w:name="_Toc12767"/>
      <w:bookmarkStart w:id="215" w:name="_Toc7924"/>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切实担负起维护西北乃至全国生态安全的重要使命。</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16" w:name="_Toc1350"/>
      <w:r>
        <w:rPr>
          <w:rFonts w:hint="default" w:ascii="Times New Roman" w:hAnsi="Times New Roman" w:cs="Times New Roman"/>
          <w:color w:val="000000" w:themeColor="text1"/>
          <w:highlight w:val="none"/>
          <w:lang w:val="en-US" w:eastAsia="zh-CN"/>
          <w14:textFill>
            <w14:solidFill>
              <w14:schemeClr w14:val="tx1"/>
            </w14:solidFill>
          </w14:textFill>
        </w:rPr>
        <w:t xml:space="preserve">第一节 </w:t>
      </w:r>
      <w:bookmarkEnd w:id="212"/>
      <w:bookmarkEnd w:id="213"/>
      <w:bookmarkEnd w:id="214"/>
      <w:bookmarkEnd w:id="215"/>
      <w:r>
        <w:rPr>
          <w:rFonts w:hint="default" w:ascii="Times New Roman" w:hAnsi="Times New Roman" w:cs="Times New Roman"/>
          <w:color w:val="000000" w:themeColor="text1"/>
          <w:highlight w:val="none"/>
          <w:lang w:val="en-US" w:eastAsia="zh-CN"/>
          <w14:textFill>
            <w14:solidFill>
              <w14:schemeClr w14:val="tx1"/>
            </w14:solidFill>
          </w14:textFill>
        </w:rPr>
        <w:t xml:space="preserve"> 提升生态系统质量和稳定性</w:t>
      </w:r>
      <w:bookmarkEnd w:id="216"/>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坚持自然恢复为主、人工修复为辅，突出规划引领，分区分类施策，重点推进水源涵养、水土保持、生态修复工程项目建设，增强生态系统的安全性、稳定性，给自然生态留下休养生息的时间和空间。</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17" w:name="_Toc3784"/>
      <w:bookmarkStart w:id="218" w:name="_Toc23292"/>
      <w:bookmarkStart w:id="219" w:name="_Toc1918"/>
      <w:r>
        <w:rPr>
          <w:rFonts w:hint="default" w:ascii="Times New Roman" w:hAnsi="Times New Roman" w:cs="Times New Roman"/>
          <w:color w:val="000000" w:themeColor="text1"/>
          <w:highlight w:val="none"/>
          <w:lang w:val="en-US" w:eastAsia="zh-CN"/>
          <w14:textFill>
            <w14:solidFill>
              <w14:schemeClr w14:val="tx1"/>
            </w14:solidFill>
          </w14:textFill>
        </w:rPr>
        <w:t>一、</w:t>
      </w:r>
      <w:bookmarkEnd w:id="217"/>
      <w:r>
        <w:rPr>
          <w:rFonts w:hint="default" w:ascii="Times New Roman" w:hAnsi="Times New Roman" w:cs="Times New Roman"/>
          <w:color w:val="000000" w:themeColor="text1"/>
          <w:highlight w:val="none"/>
          <w:lang w:val="en-US" w:eastAsia="zh-CN"/>
          <w14:textFill>
            <w14:solidFill>
              <w14:schemeClr w14:val="tx1"/>
            </w14:solidFill>
          </w14:textFill>
        </w:rPr>
        <w:t>构筑重要生态安全屏障</w:t>
      </w:r>
      <w:bookmarkEnd w:id="218"/>
      <w:bookmarkEnd w:id="219"/>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打造沿黄绿色生态廊道。</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把黄河生态系统作为一个有机整体，统筹河道水域、岸线和滩区生态建设。积极开展青铜峡库区淤积和泥沙综合利用项目，创新泥沙综合处理技术，探索泥沙资源化利用新模式。建设蓄洪提标工程，优化蓄滞洪区、防洪水库、排涝泵站等建设布局，提升重点滞洪工程的调蓄能力。完善河道两岸生态系统，建设多域贯通、人水和谐的沿黄绿色生态廊道。引领全市生态经济和绿色创新发展，建设绿色产业和科技创新走廊，共建共享沿黄现代基础设施网络，形成吴忠引黄灌溉示范区、</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黄河金岸</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旅游带、宜居康养打卡地，成为吴忠经济高质量跨越式发展的重要廊道，维护好黄河吴忠段河畅水净岸绿，让黄河成为造福吴忠人民的幸福河。</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加强罗山等重要生态功能区保护修复。</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突出抓好罗山生态功能区、牛首山东麓等山水林田湖草沙生态保护修复工程，重点开展天然林保护、荒漠化植被自然演替修复和人工灌木林改造提升，加大主要沟道及周边区域退化土地生态修复力度。加强湿地生态系统建设，严格保护太阳山湿地、哈巴湖国家级自然保护区和青铜峡库区湿地，有序开展生物栖息地恢复和重建工作，确保湿地生物多样性不降低，生态服务功能逐年增加。加大人工影响天气作业覆盖面，支持生态保护与修复，开展人工增雨（雪）、防雹、防霜等作业。继续实施禁牧封育，加强沙化土地封禁保护区建设和管理。</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9353"/>
      <w:bookmarkStart w:id="221" w:name="_Toc29697"/>
      <w:bookmarkStart w:id="222" w:name="_Toc10700"/>
      <w:r>
        <w:rPr>
          <w:rFonts w:hint="default" w:ascii="Times New Roman" w:hAnsi="Times New Roman" w:cs="Times New Roman"/>
          <w:color w:val="000000" w:themeColor="text1"/>
          <w:highlight w:val="none"/>
          <w:lang w:val="en-US" w:eastAsia="zh-CN"/>
          <w14:textFill>
            <w14:solidFill>
              <w14:schemeClr w14:val="tx1"/>
            </w14:solidFill>
          </w14:textFill>
        </w:rPr>
        <w:t>二、</w:t>
      </w:r>
      <w:bookmarkEnd w:id="220"/>
      <w:r>
        <w:rPr>
          <w:rFonts w:hint="default" w:ascii="Times New Roman" w:hAnsi="Times New Roman" w:cs="Times New Roman"/>
          <w:color w:val="000000" w:themeColor="text1"/>
          <w:highlight w:val="none"/>
          <w:lang w:val="en-US" w:eastAsia="zh-CN"/>
          <w14:textFill>
            <w14:solidFill>
              <w14:schemeClr w14:val="tx1"/>
            </w14:solidFill>
          </w14:textFill>
        </w:rPr>
        <w:t>加强生态保护修复</w:t>
      </w:r>
      <w:bookmarkEnd w:id="221"/>
      <w:r>
        <w:rPr>
          <w:rFonts w:hint="default" w:ascii="Times New Roman" w:hAnsi="Times New Roman" w:cs="Times New Roman"/>
          <w:color w:val="000000" w:themeColor="text1"/>
          <w:highlight w:val="none"/>
          <w:lang w:val="en-US" w:eastAsia="zh-CN"/>
          <w14:textFill>
            <w14:solidFill>
              <w14:schemeClr w14:val="tx1"/>
            </w14:solidFill>
          </w14:textFill>
        </w:rPr>
        <w:t>力度</w:t>
      </w:r>
      <w:bookmarkEnd w:id="222"/>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加强水土流失综合治理。</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优化布局河谷沟道水库、水保骨干坝、淤地坝，</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持续开展清水河、苦水河等中小河流域综合治理，完善水土流失综合防护体系，保护流域水土资源和生态环境，减少入黄泥沙量。</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严格保护耕地，加大退化、污染、损毁农田改良和修复力度，推行耕地轮作休耕，实施坡耕地水土流失综合治理，提高耕地质量和农田生态功能。</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实施移民迁出区生态修复工程，</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加强迁出区封育管护和自然修复，实现迁出一片，生态恢复一片。到2025年，新增治理水土流失面积969平方公里，全市治理率达到66%以上。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加强荒漠草原防沙治沙建设。</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加大草原生态保护与修复治理，严格落实草原禁牧和草畜平衡制度，深入推进退耕还草、草原有害生物防控等工程，防止草原退化和土地沙化，严禁违法开垦草原，乱征滥占草原。实施锁边防风固沙工程，推广盐池草方格治沙经验，大力治理流动沙丘，织起绿网、建设绿带、形成绿洲。合理利用沙区自然资源，积极发展治沙先进技术和产业，合理开发沙漠种植、沙漠公园、沙漠文化，实现沙漠生态功能的转化增值，促进人沙和谐。到2025年，完成草原生态修复63万亩，草原综合植被覆盖度达到55.3%。</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加强矿山生态修复力度。</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加强对露天采矿场进行植被恢复和复垦，加强采空区的生态修复与治理；深化矿山</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三废</w:t>
      </w:r>
      <w:r>
        <w:rPr>
          <w:rFonts w:hint="eastAsia"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污染治理，开展矿山综合整治，重点加大废水和废渣整治力度，推进绿色矿山建设。实施黄河沿线矿山修复治理，通过拆除乱搭乱建、清理乱堆乱放、清运垃圾、采坑回填、陡坡拉坡、播撒草籽、植树造林等综合治理措施，恢复山体生态功能。</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3" w:name="_Toc14376"/>
      <w:bookmarkStart w:id="224" w:name="_Toc16233"/>
      <w:bookmarkStart w:id="225" w:name="_Toc18227"/>
      <w:r>
        <w:rPr>
          <w:rFonts w:hint="default" w:ascii="Times New Roman" w:hAnsi="Times New Roman" w:cs="Times New Roman"/>
          <w:color w:val="000000" w:themeColor="text1"/>
          <w:highlight w:val="none"/>
          <w:lang w:val="en-US" w:eastAsia="zh-CN"/>
          <w14:textFill>
            <w14:solidFill>
              <w14:schemeClr w14:val="tx1"/>
            </w14:solidFill>
          </w14:textFill>
        </w:rPr>
        <w:t>三、</w:t>
      </w:r>
      <w:bookmarkEnd w:id="223"/>
      <w:bookmarkEnd w:id="224"/>
      <w:r>
        <w:rPr>
          <w:rFonts w:hint="default" w:ascii="Times New Roman" w:hAnsi="Times New Roman" w:cs="Times New Roman"/>
          <w:color w:val="000000" w:themeColor="text1"/>
          <w:highlight w:val="none"/>
          <w:lang w:val="en-US" w:eastAsia="zh-CN"/>
          <w14:textFill>
            <w14:solidFill>
              <w14:schemeClr w14:val="tx1"/>
            </w14:solidFill>
          </w14:textFill>
        </w:rPr>
        <w:t>深入推进城乡绿化建设</w:t>
      </w:r>
      <w:bookmarkEnd w:id="225"/>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开展国土绿化行动，实施城乡绿化美化、森林资源保护、林业产业提升工程，完善黄河沿岸、苦水河、清水沟、红柳沟、南干沟、罗家河、中沟及第一排水沟等沿岸的防护林体系，重点开展北部绿色发展区防护林建设、黄河两岸环境保护生态修复等项目，推进高标准农田防护林网建设，推广乡土树种造林，加大植树造林力度，创建国家森林城市，不断提升城乡绿色宜居品位。继续开展宜林荒山荒地造林、封山育林以及重点生态脆弱区的坡耕地和严重沙化耕地的退耕地造林。加快速生丰产林和优质经济林基地建设，推动森林抚育和低效林改造，提高森林资源质量，增加森林碳汇。到2025年，新增营造林和草原修复面积206万亩，森林覆盖率达到20%。</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lang w:val="en-US"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cs="Times New Roman"/>
                <w:color w:val="000000" w:themeColor="text1"/>
                <w:sz w:val="28"/>
                <w:szCs w:val="28"/>
                <w:highlight w:val="none"/>
                <w14:textFill>
                  <w14:solidFill>
                    <w14:schemeClr w14:val="tx1"/>
                  </w14:solidFill>
                </w14:textFill>
              </w:rPr>
              <w:t xml:space="preserve">  生态</w:t>
            </w:r>
            <w:r>
              <w:rPr>
                <w:rFonts w:hint="default" w:ascii="Times New Roman" w:hAnsi="Times New Roman" w:cs="Times New Roman"/>
                <w:color w:val="000000" w:themeColor="text1"/>
                <w:sz w:val="28"/>
                <w:szCs w:val="28"/>
                <w:highlight w:val="none"/>
                <w:lang w:eastAsia="zh-CN"/>
                <w14:textFill>
                  <w14:solidFill>
                    <w14:schemeClr w14:val="tx1"/>
                  </w14:solidFill>
                </w14:textFill>
              </w:rPr>
              <w:t>保护</w:t>
            </w:r>
            <w:r>
              <w:rPr>
                <w:rFonts w:hint="default" w:ascii="Times New Roman" w:hAnsi="Times New Roman" w:cs="Times New Roman"/>
                <w:color w:val="000000" w:themeColor="text1"/>
                <w:sz w:val="28"/>
                <w:szCs w:val="28"/>
                <w:highlight w:val="none"/>
                <w14:textFill>
                  <w14:solidFill>
                    <w14:schemeClr w14:val="tx1"/>
                  </w14:solidFill>
                </w14:textFill>
              </w:rPr>
              <w:t>修复重点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1.堤防建设：</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黄河吴忠段排水沟道入河口堤防加固工程；滨河大道提升改建工程；黄河两岸环境保护生态修复项目；灌区防洪工程；同心县白石头沟治理工程。</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2.河道控导：</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京藏高速大桥至叶盛黄河大桥9.8公里航道疏浚工程；滨河体育公园、铁路桥码头建设项目；黄河吴忠段河道整治工程；吴忠市重点河湖监测及河湖长制信息平台建设项目；利通区拦蓄洪水利用工程；红寺堡区石炭沟片区沟道治理工程；盐池县泾河流域水土保持小流域综合治理工程；同心县洪泉沟水系综合治理工程。</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3.滩区治理：</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黄河吴忠段河道生态保护和修复工程；黄河吴忠城区段景观提升改造工程；袁滩、唐滩、叶盛黄河大桥上滩3个滩区整治工程；黄河利通区段河道和滩区综合提升治理项目；黄河青铜峡段滩涂生态经济林修复项目。</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4.城市防洪：</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城市排水防涝设施建设工程；吴忠市污水提质增效排水管网改造修复工程；防洪体系建设项目；黄河吴忠段河道整治工程；牛首山北麓防洪工程；清水河流域综合治理工程；苦水河防洪及综合治理项目；红寺堡区罗山防洪工程；红寺堡区弘德及乌沙塘园区防洪工程；盐池县城防洪提升改造项目；同心县小洪沟除险加固工程；同心县李沿、白府等调蓄水库工程；同心县下马关排涝及防洪工程改造提升项目。</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5.水源涵养：</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牛首山区域水土保持综合治理项目；吴忠黄河国家湿地公园湿地保护与恢复项目；青铜峡工业园区地下水综合治理项目；盐池县退化草原生态修复及牧草基地建设项目；盐池县大规模国土绿化、生态经济林建设及防沙治沙建设项目；盐池县苦水河流域水土保持小流域综合治理项目；陈袁滩镇沿黄河流域水土流失治理项目。</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6.水土保持：</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黄河国家湿地公园湿地保护与恢复项目；吴忠市清水河、苦水河干流流域水生态修复治理项目；红柳沟水土保持综合治理项目；利通区孙家滩、五里坡小流域治理项目；青铜峡市长流水及滑石沟生态修复治理项目；同心县洪泉沟和北沟治理项目。</w:t>
            </w: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b/>
                <w:bCs/>
                <w:color w:val="000000" w:themeColor="text1"/>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7.生态修复：</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黄河吴忠段干流综合治理工程；宁夏吴忠黄河保护与生态治理项目（森林湿地公园）；牛首山生态保护修复工程项目；罗山生态功能区生态保护修复项目；利通区退耕还湿项目；宁夏盐池县城北水系生态修复工程；同心县生态经济林建设项目；同心县沙化土地防沙治沙项目；同心县北沟环境综合治理及生态修复项目；同心县洞子沟水生态修复综合治理工程。</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6" w:name="_Toc23943"/>
      <w:bookmarkStart w:id="227" w:name="_Toc9318"/>
      <w:bookmarkStart w:id="228" w:name="_Toc24254"/>
      <w:bookmarkStart w:id="229" w:name="_Toc29639"/>
      <w:bookmarkStart w:id="230" w:name="_Toc11403"/>
      <w:r>
        <w:rPr>
          <w:rFonts w:hint="default" w:ascii="Times New Roman" w:hAnsi="Times New Roman" w:cs="Times New Roman"/>
          <w:color w:val="000000" w:themeColor="text1"/>
          <w:highlight w:val="none"/>
          <w:lang w:val="en-US" w:eastAsia="zh-CN"/>
          <w14:textFill>
            <w14:solidFill>
              <w14:schemeClr w14:val="tx1"/>
            </w14:solidFill>
          </w14:textFill>
        </w:rPr>
        <w:t xml:space="preserve">第二节  </w:t>
      </w:r>
      <w:r>
        <w:rPr>
          <w:rFonts w:hint="default" w:ascii="Times New Roman" w:hAnsi="Times New Roman" w:cs="Times New Roman"/>
          <w:color w:val="000000" w:themeColor="text1"/>
          <w:highlight w:val="none"/>
          <w14:textFill>
            <w14:solidFill>
              <w14:schemeClr w14:val="tx1"/>
            </w14:solidFill>
          </w14:textFill>
        </w:rPr>
        <w:t>持续改善环境质量</w:t>
      </w:r>
      <w:bookmarkEnd w:id="226"/>
      <w:bookmarkEnd w:id="227"/>
      <w:bookmarkEnd w:id="228"/>
      <w:bookmarkEnd w:id="229"/>
      <w:bookmarkEnd w:id="230"/>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增强全社会生态环保意识，深入打好蓝天、碧水、净土保卫战，巩固污染治理成果，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建立统筹城乡的环境保护机制以及环境治理体系，有效防范化解环境风险，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实现生态环境质量持续改善。</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1" w:name="_Toc2035"/>
      <w:bookmarkStart w:id="232" w:name="_Toc27272"/>
      <w:bookmarkStart w:id="233" w:name="_Toc13255"/>
      <w:r>
        <w:rPr>
          <w:rFonts w:hint="default" w:ascii="Times New Roman" w:hAnsi="Times New Roman" w:cs="Times New Roman"/>
          <w:color w:val="000000" w:themeColor="text1"/>
          <w:highlight w:val="none"/>
          <w:lang w:val="en-US" w:eastAsia="zh-CN"/>
          <w14:textFill>
            <w14:solidFill>
              <w14:schemeClr w14:val="tx1"/>
            </w14:solidFill>
          </w14:textFill>
        </w:rPr>
        <w:t>一、</w:t>
      </w:r>
      <w:bookmarkEnd w:id="231"/>
      <w:r>
        <w:rPr>
          <w:rFonts w:hint="default" w:ascii="Times New Roman" w:hAnsi="Times New Roman" w:cs="Times New Roman"/>
          <w:color w:val="000000" w:themeColor="text1"/>
          <w:highlight w:val="none"/>
          <w:lang w:val="en-US" w:eastAsia="zh-CN"/>
          <w14:textFill>
            <w14:solidFill>
              <w14:schemeClr w14:val="tx1"/>
            </w14:solidFill>
          </w14:textFill>
        </w:rPr>
        <w:t>稳定大气治理成果</w:t>
      </w:r>
      <w:bookmarkEnd w:id="232"/>
      <w:bookmarkEnd w:id="233"/>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推进空气</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四尘同治</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完善联控联治联防机制，有效应对重污染天气。</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控制煤炭消费总量，实施清洁能源代替工程，全面推进煤炭清洁高效利用，开展无集中供热区域清洁取暖试点示范，推进清洁取暖县级城市全覆盖，淘汰关停不符合国家规定的燃煤锅炉和燃煤机组，不断降低煤炭在能源消费中的比重。加强工业污染治理，</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依法淘汰落后产能，推进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火电、</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化工、</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水泥等重点行业的排放提标改造。严格落实新建项目重点污染物排放置换政策，深化工业挥发性有机物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污染</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治理，持续开展</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小散乱污</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企业整治，对不能稳定达标排放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污染治理设施进行升级改造。工业园区推动余（废）热回收利用，实现集中供热（汽）和热电联产。集中整治城市扬尘污染，推进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智慧工地</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建设，严格控制秸秆焚烧和餐饮业油烟排放。建设机动车尾气监管平台，规范机动车排污管理，全面完成老旧车辆淘汰任务，开展柴油货车污染治理攻坚行动，强化移动污染源防治。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4" w:name="_Toc19154"/>
      <w:bookmarkStart w:id="235" w:name="_Toc31532"/>
      <w:bookmarkStart w:id="236" w:name="_Toc2200"/>
      <w:r>
        <w:rPr>
          <w:rFonts w:hint="default" w:ascii="Times New Roman" w:hAnsi="Times New Roman" w:cs="Times New Roman"/>
          <w:color w:val="000000" w:themeColor="text1"/>
          <w:highlight w:val="none"/>
          <w:lang w:val="en-US" w:eastAsia="zh-CN"/>
          <w14:textFill>
            <w14:solidFill>
              <w14:schemeClr w14:val="tx1"/>
            </w14:solidFill>
          </w14:textFill>
        </w:rPr>
        <w:t>二、全面加强</w:t>
      </w:r>
      <w:bookmarkEnd w:id="234"/>
      <w:r>
        <w:rPr>
          <w:rFonts w:hint="default" w:ascii="Times New Roman" w:hAnsi="Times New Roman" w:cs="Times New Roman"/>
          <w:color w:val="000000" w:themeColor="text1"/>
          <w:highlight w:val="none"/>
          <w:lang w:val="en-US" w:eastAsia="zh-CN"/>
          <w14:textFill>
            <w14:solidFill>
              <w14:schemeClr w14:val="tx1"/>
            </w14:solidFill>
          </w14:textFill>
        </w:rPr>
        <w:t>水污染治理</w:t>
      </w:r>
      <w:bookmarkEnd w:id="235"/>
      <w:bookmarkEnd w:id="236"/>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加强工业废水治理，严格落实</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三线一单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，推动重点行业强制性清洁生产审核，严禁在黄河干流及主要支流1公里范围内建设</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两高一资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项目。全面排查入河排污口，坚决取缔工业直排口和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散乱污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非法排污口，综合整治入黄排水沟，确保入黄水质稳定Ⅳ类以上，黄河吴忠段断面水质保持在Ⅱ类。加强农业退水处置，实施农田退水污染综合治理，加强农田退水循环利用。加强城乡污水管控，推进污水处置设施提标改造工程。开展污水处理设施运营管理，大幅提升污水处理设施规范化运行管理水平。深化农村污染防治，大力推进农村生活污水处理设施和收集管网建设，推广分散式小型污水处理设施。加强污泥无害化处理处置设施建设，建立污泥从产生、运输、储存、处置全过程监管体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7" w:name="_Toc11706"/>
      <w:bookmarkStart w:id="238" w:name="_Toc17683"/>
      <w:bookmarkStart w:id="239" w:name="_Toc15264"/>
      <w:r>
        <w:rPr>
          <w:rFonts w:hint="default" w:ascii="Times New Roman" w:hAnsi="Times New Roman" w:cs="Times New Roman"/>
          <w:color w:val="000000" w:themeColor="text1"/>
          <w:highlight w:val="none"/>
          <w:lang w:val="en-US" w:eastAsia="zh-CN"/>
          <w14:textFill>
            <w14:solidFill>
              <w14:schemeClr w14:val="tx1"/>
            </w14:solidFill>
          </w14:textFill>
        </w:rPr>
        <w:t>三、有效防控土壤污染</w:t>
      </w:r>
      <w:bookmarkEnd w:id="237"/>
      <w:bookmarkEnd w:id="238"/>
      <w:bookmarkEnd w:id="239"/>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lang w:eastAsia="zh-CN"/>
          <w14:textFill>
            <w14:solidFill>
              <w14:schemeClr w14:val="tx1"/>
            </w14:solidFill>
          </w14:textFill>
        </w:rPr>
        <w:t>做好土壤污染状况详查工作，构建土壤环境基础数据库，建立土壤环境质量监测网络。</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六废联治</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严格建设用地准入管理，强化工业污染源监管，防范建设用地新增污染，提高土壤污染防治和安全利用水平。持续推进土壤污染防治综合先行区建设和土壤污染治理与修复技术应用试点项目。</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清废行动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，提升工业园区一般固废处置能力。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加强涉重金属行业污染防治，</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严格执行重金属总量控制指标和排放标准，确保重金属排放量逐年下降。</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深入开展固体废物非法贮存、倾倒、填埋专项排查，全程监管重点工业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企业</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危险废弃物处置，</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确保危险废物100%安全处置。加强农业面源污染治理，推进畜禽粪污资源化利用、秸秆综合利用和农残膜回收利用。</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0" w:name="_Toc26195"/>
      <w:bookmarkStart w:id="241" w:name="_Toc17674"/>
      <w:bookmarkStart w:id="242" w:name="_Toc21216"/>
      <w:r>
        <w:rPr>
          <w:rFonts w:hint="default" w:ascii="Times New Roman" w:hAnsi="Times New Roman" w:cs="Times New Roman"/>
          <w:color w:val="000000" w:themeColor="text1"/>
          <w:highlight w:val="none"/>
          <w:lang w:val="en-US" w:eastAsia="zh-CN"/>
          <w14:textFill>
            <w14:solidFill>
              <w14:schemeClr w14:val="tx1"/>
            </w14:solidFill>
          </w14:textFill>
        </w:rPr>
        <w:t>四、加强生态环境风险防控</w:t>
      </w:r>
      <w:bookmarkEnd w:id="240"/>
      <w:bookmarkEnd w:id="241"/>
      <w:bookmarkEnd w:id="24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全面落实环评审批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正面清单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坚持重典治乱、铁拳铁规治污，以打击恶意违法排污和造假行为、督促工业污染源达标排放为重点，保持严厉打击环境违法行为的高压态势。充分利用遥感、无人机巡查等科技手段开展非现场检查，提升执法效能，监督企业正常运行污染防治设施，确保污染物稳定达标排放。坚持</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有减有加</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，对偷排偷放、恶意排污、监测数据弄虚作假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环境违法犯罪行为加大执法处罚力度，坚决依法查处。</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cs="Times New Roman"/>
          <w:lang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9015" w:type="dxa"/>
            <w:vAlign w:val="center"/>
          </w:tcPr>
          <w:p>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cs="Times New Roman"/>
                <w:color w:val="000000" w:themeColor="text1"/>
                <w:sz w:val="28"/>
                <w:szCs w:val="28"/>
                <w:highlight w:val="none"/>
                <w14:textFill>
                  <w14:solidFill>
                    <w14:schemeClr w14:val="tx1"/>
                  </w14:solidFill>
                </w14:textFill>
              </w:rPr>
              <w:t xml:space="preserve">  环境</w:t>
            </w:r>
            <w:r>
              <w:rPr>
                <w:rFonts w:hint="default" w:ascii="Times New Roman" w:hAnsi="Times New Roman" w:cs="Times New Roman"/>
                <w:color w:val="000000" w:themeColor="text1"/>
                <w:sz w:val="28"/>
                <w:szCs w:val="28"/>
                <w:highlight w:val="none"/>
                <w:lang w:eastAsia="zh-CN"/>
                <w14:textFill>
                  <w14:solidFill>
                    <w14:schemeClr w14:val="tx1"/>
                  </w14:solidFill>
                </w14:textFill>
              </w:rPr>
              <w:t>保护</w:t>
            </w:r>
            <w:r>
              <w:rPr>
                <w:rFonts w:hint="default" w:ascii="Times New Roman" w:hAnsi="Times New Roman" w:cs="Times New Roman"/>
                <w:color w:val="000000" w:themeColor="text1"/>
                <w:sz w:val="28"/>
                <w:szCs w:val="28"/>
                <w:highlight w:val="none"/>
                <w14:textFill>
                  <w14:solidFill>
                    <w14:schemeClr w14:val="tx1"/>
                  </w14:solidFill>
                </w14:textFill>
              </w:rPr>
              <w:t>治理重点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1.大气治理：</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工业炉窑治理项目；机动车污染治理项目；农作物秸秆综合利用及生物反应堆技术推广项目；宁夏大唐国际大坝发电有限责任公司封闭式煤场建设项目；华能宁夏大坝发电责任公司封闭式煤场建设项目；利通区乡镇、村部、卫生院清洁取暖项目（二期）；青铜峡铝业发电有限责任公司封闭式煤场建设项目；盐池县燃煤锅炉淘汰及锅炉提标改造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2.水污染治理：</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黄河吴忠段生态保护和水环境治理工程；吴忠市清宁河水生态修复治理项目；城镇污水处理提质增效项目；清水沟上段（昊盛）、新华桥、牛家坊人工湿地项目；利通区农村生活污水集中处理项目；红寺堡区中小河流治理项目；贺兰山东麓青铜峡市西部水系生态治理工程。</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000000" w:themeColor="text1"/>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3.土壤污染防控：</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宁夏金塔有色环保科技工业固体废弃物综合处置项目；吴忠太阳山开发区一般固体废弃物处置项目；宁夏吴忠环保静脉产业园（危险废物集中处置中心）建设项目；吴忠市金积工业园区年处置100万吨/年一般固体废物填埋场项目；红寺堡区农药包装废弃物回收处理项目；同心县废旧农膜及废弃农药包装物资循环利用示范、餐厨污泥协同垃圾处理项目</w:t>
            </w:r>
            <w:r>
              <w:rPr>
                <w:rFonts w:hint="default" w:ascii="Times New Roman" w:hAnsi="Times New Roman" w:cs="Times New Roman"/>
                <w:color w:val="000000" w:themeColor="text1"/>
                <w:sz w:val="26"/>
                <w:szCs w:val="26"/>
                <w:highlight w:val="none"/>
                <w14:textFill>
                  <w14:solidFill>
                    <w14:schemeClr w14:val="tx1"/>
                  </w14:solidFill>
                </w14:textFill>
              </w:rPr>
              <w:t>。</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3" w:name="_Toc20051"/>
      <w:bookmarkStart w:id="244" w:name="_Toc11482"/>
      <w:bookmarkStart w:id="245" w:name="_Toc10267"/>
      <w:bookmarkStart w:id="246" w:name="_Toc17274"/>
      <w:bookmarkStart w:id="247" w:name="_Toc12882"/>
      <w:r>
        <w:rPr>
          <w:rFonts w:hint="default" w:ascii="Times New Roman" w:hAnsi="Times New Roman" w:cs="Times New Roman"/>
          <w:color w:val="000000" w:themeColor="text1"/>
          <w:highlight w:val="none"/>
          <w:lang w:val="en-US" w:eastAsia="zh-CN"/>
          <w14:textFill>
            <w14:solidFill>
              <w14:schemeClr w14:val="tx1"/>
            </w14:solidFill>
          </w14:textFill>
        </w:rPr>
        <w:t xml:space="preserve">第三节 </w:t>
      </w:r>
      <w:bookmarkEnd w:id="243"/>
      <w:r>
        <w:rPr>
          <w:rFonts w:hint="default" w:ascii="Times New Roman" w:hAnsi="Times New Roman" w:cs="Times New Roman"/>
          <w:color w:val="000000" w:themeColor="text1"/>
          <w:highlight w:val="none"/>
          <w:lang w:val="en-US" w:eastAsia="zh-CN"/>
          <w14:textFill>
            <w14:solidFill>
              <w14:schemeClr w14:val="tx1"/>
            </w14:solidFill>
          </w14:textFill>
        </w:rPr>
        <w:t xml:space="preserve"> 优化提升资源利用效率</w:t>
      </w:r>
      <w:bookmarkEnd w:id="244"/>
      <w:bookmarkEnd w:id="245"/>
      <w:bookmarkEnd w:id="246"/>
      <w:bookmarkEnd w:id="247"/>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牢固</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树立节约集约循环利用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w:t>
      </w:r>
      <w:r>
        <w:rPr>
          <w:rFonts w:hint="default" w:ascii="Times New Roman" w:hAnsi="Times New Roman" w:eastAsia="方正仿宋_GBK" w:cs="Times New Roman"/>
          <w:color w:val="000000" w:themeColor="text1"/>
          <w:highlight w:val="none"/>
          <w:lang w:eastAsia="zh-CN"/>
          <w14:textFill>
            <w14:solidFill>
              <w14:schemeClr w14:val="tx1"/>
            </w14:solidFill>
          </w14:textFill>
        </w:rPr>
        <w:t>资源观，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落实水资源和能源消耗、建设用地总量和强度</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双控</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管理，</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不断提高资源利用效率，加快推动生产方式、生活方式绿色化转型。</w:t>
      </w:r>
    </w:p>
    <w:p>
      <w:pPr>
        <w:pStyle w:val="4"/>
        <w:keepNext/>
        <w:keepLines/>
        <w:pageBreakBefore w:val="0"/>
        <w:widowControl w:val="0"/>
        <w:kinsoku/>
        <w:wordWrap/>
        <w:overflowPunct/>
        <w:topLinePunct w:val="0"/>
        <w:autoSpaceDE/>
        <w:autoSpaceDN/>
        <w:bidi w:val="0"/>
        <w:adjustRightInd/>
        <w:snapToGrid/>
        <w:spacing w:before="60" w:after="60" w:line="57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8" w:name="_Toc24651"/>
      <w:bookmarkStart w:id="249" w:name="_Toc20579"/>
      <w:r>
        <w:rPr>
          <w:rFonts w:hint="default" w:ascii="Times New Roman" w:hAnsi="Times New Roman" w:cs="Times New Roman"/>
          <w:color w:val="000000" w:themeColor="text1"/>
          <w:highlight w:val="none"/>
          <w:lang w:val="en-US" w:eastAsia="zh-CN"/>
          <w14:textFill>
            <w14:solidFill>
              <w14:schemeClr w14:val="tx1"/>
            </w14:solidFill>
          </w14:textFill>
        </w:rPr>
        <w:t>一、促进资源能源集约利用</w:t>
      </w:r>
      <w:bookmarkEnd w:id="248"/>
      <w:bookmarkEnd w:id="249"/>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推动全面节水。</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坚持以水定城、以水定地、以水定人、以水定产，实行水资源消耗总量和强度</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双控</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行动</w:t>
      </w:r>
      <w:r>
        <w:rPr>
          <w:rFonts w:hint="default" w:ascii="Times New Roman" w:hAnsi="Times New Roman" w:eastAsia="方正仿宋_GBK" w:cs="Times New Roman"/>
          <w:color w:val="000000" w:themeColor="text1"/>
          <w:highlight w:val="none"/>
          <w:lang w:eastAsia="zh-CN"/>
          <w14:textFill>
            <w14:solidFill>
              <w14:schemeClr w14:val="tx1"/>
            </w14:solidFill>
          </w14:textFill>
        </w:rPr>
        <w:t>，落实最严格水资源管理制度，建立水资源承载力分类分区管控体系，持续优化用水结构。大力发展节水型生态农业、涵水性生态林业、保水性生态牧业，支持红寺堡扬黄灌区改造提升，争取开发建设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青铜峡</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抽水蓄能工程，推进现代化生态灌区、旱作节水农业示范区、生态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农业</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示范区建设。深入推进农业水价综合改革，积极开展水权交易。深挖工业节水潜力，加快传统高需水企业节水增效，推动水资源向利用强度低、效率高、效益好的项目、产业、区域倾斜配置。加快建设节水型社会和城乡水务一体化，增强全民水忧患意识和节水意识，提高再生水、雨洪水利用率，促进水资源循环利用。</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推进节能降耗。</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实施全面节能行动计划，深入开展工业、建筑、交通等重点领域节能。严格能耗准入门槛，加快煤炭、电力、冶金、化工、建材等传统高耗能行业节能改造，降低重点行业和企业能耗。</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坚持节约用地。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严守永久基本农田，严管城镇开发边界，严格落实耕地占补平衡，鼓励工矿区土地复垦复用，严控新增建设用地规模，持续推进城镇园区低效土地再利用，全面清理处置闲置土地，提高土地集约节约利用水平。</w:t>
      </w:r>
    </w:p>
    <w:p>
      <w:pPr>
        <w:pStyle w:val="4"/>
        <w:keepNext/>
        <w:keepLines/>
        <w:pageBreakBefore w:val="0"/>
        <w:widowControl w:val="0"/>
        <w:kinsoku/>
        <w:wordWrap/>
        <w:overflowPunct/>
        <w:topLinePunct w:val="0"/>
        <w:autoSpaceDE/>
        <w:autoSpaceDN/>
        <w:bidi w:val="0"/>
        <w:adjustRightInd/>
        <w:snapToGrid/>
        <w:spacing w:before="60" w:after="60" w:line="57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0" w:name="_Toc31777"/>
      <w:bookmarkStart w:id="251" w:name="_Toc6520"/>
      <w:bookmarkStart w:id="252" w:name="_Toc16109"/>
      <w:r>
        <w:rPr>
          <w:rFonts w:hint="default" w:ascii="Times New Roman" w:hAnsi="Times New Roman" w:cs="Times New Roman"/>
          <w:color w:val="000000" w:themeColor="text1"/>
          <w:highlight w:val="none"/>
          <w:lang w:val="en-US" w:eastAsia="zh-CN"/>
          <w14:textFill>
            <w14:solidFill>
              <w14:schemeClr w14:val="tx1"/>
            </w14:solidFill>
          </w14:textFill>
        </w:rPr>
        <w:t>二、发展绿色低碳循环经济</w:t>
      </w:r>
      <w:bookmarkEnd w:id="250"/>
      <w:bookmarkEnd w:id="251"/>
      <w:bookmarkEnd w:id="252"/>
    </w:p>
    <w:p>
      <w:pPr>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eastAsia="zh-CN"/>
          <w14:textFill>
            <w14:solidFill>
              <w14:schemeClr w14:val="tx1"/>
            </w14:solidFill>
          </w14:textFill>
        </w:rPr>
        <w:t>坚持绿色发展理念，</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积极发展循环经济，大力开展秸秆还田和秸秆肥料化、饲料化、基料化、原料化和能源化利用，推进规模养殖场（小区）开展畜禽粪污综合利用，建立健全农用残膜回收利用机制，推广残膜回收利用技术，推动有机肥替代化肥的比例不断提高。推动园区循环发展，不断延伸和完善煤炭、化工、冶金、建材等深加工产业链，打造产业集群，加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三废</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和余热余压等循环再利用，提高园区就地消纳和转化废物能力。</w:t>
      </w:r>
    </w:p>
    <w:p>
      <w:pPr>
        <w:pStyle w:val="4"/>
        <w:keepNext/>
        <w:keepLines/>
        <w:pageBreakBefore w:val="0"/>
        <w:widowControl w:val="0"/>
        <w:kinsoku/>
        <w:wordWrap/>
        <w:overflowPunct/>
        <w:topLinePunct w:val="0"/>
        <w:autoSpaceDE/>
        <w:autoSpaceDN/>
        <w:bidi w:val="0"/>
        <w:adjustRightInd/>
        <w:snapToGrid/>
        <w:spacing w:before="60" w:after="60" w:line="57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3" w:name="_Toc6405"/>
      <w:bookmarkStart w:id="254" w:name="_Toc19990"/>
      <w:bookmarkStart w:id="255" w:name="_Toc5"/>
      <w:r>
        <w:rPr>
          <w:rFonts w:hint="default" w:ascii="Times New Roman" w:hAnsi="Times New Roman" w:cs="Times New Roman"/>
          <w:color w:val="000000" w:themeColor="text1"/>
          <w:highlight w:val="none"/>
          <w:lang w:val="en-US" w:eastAsia="zh-CN"/>
          <w14:textFill>
            <w14:solidFill>
              <w14:schemeClr w14:val="tx1"/>
            </w14:solidFill>
          </w14:textFill>
        </w:rPr>
        <w:t>三、</w:t>
      </w:r>
      <w:bookmarkEnd w:id="253"/>
      <w:r>
        <w:rPr>
          <w:rFonts w:hint="default" w:ascii="Times New Roman" w:hAnsi="Times New Roman" w:cs="Times New Roman"/>
          <w:color w:val="000000" w:themeColor="text1"/>
          <w:highlight w:val="none"/>
          <w:lang w:val="en-US" w:eastAsia="zh-CN"/>
          <w14:textFill>
            <w14:solidFill>
              <w14:schemeClr w14:val="tx1"/>
            </w14:solidFill>
          </w14:textFill>
        </w:rPr>
        <w:t>共建绿色生产生活空间</w:t>
      </w:r>
      <w:bookmarkEnd w:id="254"/>
      <w:bookmarkEnd w:id="255"/>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推动开发节能减排、清洁能源等绿色金融产品向实体经济聚集。建设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节约型机关，加大政府绿色采购力度，推行绿色办公，使用循环再生办公用品。</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推动绿色出行，</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优化城市路网配置，</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推进城市绿道和社区绿道的建设，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加强城市公共交通和慢行交通系统建设管理，加快充电基础设施建设，推广节能和新能源车辆，依法淘汰高耗能、高排放车辆。</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w:t>
      </w:r>
      <w:r>
        <w:rPr>
          <w:rFonts w:hint="default" w:ascii="Times New Roman" w:hAnsi="Times New Roman" w:eastAsia="方正仿宋_GBK" w:cs="Times New Roman"/>
          <w:color w:val="000000" w:themeColor="text1"/>
          <w:highlight w:val="none"/>
          <w:lang w:eastAsia="zh-CN"/>
          <w14:textFill>
            <w14:solidFill>
              <w14:schemeClr w14:val="tx1"/>
            </w14:solidFill>
          </w14:textFill>
        </w:rPr>
        <w:t>绿色商场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建设，积极引导消费者优先采购绿色产品，简化商品包装。推进高能耗建筑绿色改造，降低传统建筑能耗。推动绿色家庭、绿色学校和绿色社区创建活动。</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lang w:val="en-US"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15" w:type="dxa"/>
            <w:vAlign w:val="center"/>
          </w:tcPr>
          <w:p>
            <w:pPr>
              <w:pStyle w:val="3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11</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优化资源利用</w:t>
            </w:r>
            <w:r>
              <w:rPr>
                <w:rFonts w:hint="default" w:ascii="Times New Roman" w:hAnsi="Times New Roman" w:cs="Times New Roman"/>
                <w:color w:val="000000" w:themeColor="text1"/>
                <w:sz w:val="28"/>
                <w:szCs w:val="28"/>
                <w:highlight w:val="none"/>
                <w14:textFill>
                  <w14:solidFill>
                    <w14:schemeClr w14:val="tx1"/>
                  </w14:solidFill>
                </w14:textFill>
              </w:rPr>
              <w:t>重点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工程</w:t>
            </w:r>
            <w:r>
              <w:rPr>
                <w:rFonts w:hint="default" w:ascii="Times New Roman" w:hAnsi="Times New Roman" w:cs="Times New Roman"/>
                <w:color w:val="000000" w:themeColor="text1"/>
                <w:sz w:val="28"/>
                <w:szCs w:val="28"/>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1.节水节能项目：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利通区高效节水灌溉项目；利通区现代化灌区田间改造项目；青铜峡市高标准农田建设项目；青铜峡市现代化生态灌区建设项目；青铜峡镇养殖区保水型生态牧业建设项目；盐池县高效节水灌溉工程提升改造工程；盐池县水库及高效节水灌溉水源连通工程；盐池县城西滩、王乐井现代化生态灌区项目；同心县高效节水灌溉工程。</w:t>
            </w:r>
          </w:p>
          <w:p>
            <w:pPr>
              <w:pStyle w:val="3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bCs/>
                <w:color w:val="000000" w:themeColor="text1"/>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2.综合利用资源：</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区再生水管道改造工程；吴忠市城市西区生活（第三）污水处理厂再生水厂利用工程；吴忠市区开元大道、金积大道、清宁街、明珠路4条市政道路人行道海绵化改造工程；太阳山开发区热电联产项目；万向新元年产20万吨废旧轮胎资源化循环再利用项目；利通区甜水河水库微咸水处理综合利用项目；利通区双吉沟流域洪水资源利用项目；红寺堡城区净化水厂扩建工程；青铜峡市西部供水项目；青铜峡市罗家河下段水量综合利用供水工程；同心县水源工程建设项目；同心县中西部水源连通工程。</w:t>
            </w:r>
          </w:p>
        </w:tc>
      </w:tr>
    </w:tbl>
    <w:p>
      <w:pPr>
        <w:pStyle w:val="3"/>
        <w:keepNext/>
        <w:keepLines/>
        <w:pageBreakBefore w:val="0"/>
        <w:widowControl w:val="0"/>
        <w:kinsoku/>
        <w:wordWrap/>
        <w:overflowPunct/>
        <w:topLinePunct w:val="0"/>
        <w:autoSpaceDE/>
        <w:autoSpaceDN/>
        <w:bidi w:val="0"/>
        <w:adjustRightInd/>
        <w:snapToGrid/>
        <w:spacing w:before="240" w:line="20" w:lineRule="exact"/>
        <w:jc w:val="both"/>
        <w:textAlignment w:val="auto"/>
        <w:rPr>
          <w:rFonts w:hint="default" w:ascii="Times New Roman" w:hAnsi="Times New Roman" w:eastAsia="黑体" w:cs="Times New Roman"/>
          <w:bCs/>
          <w:color w:val="000000"/>
          <w:spacing w:val="0"/>
          <w:kern w:val="2"/>
          <w:sz w:val="32"/>
          <w:szCs w:val="32"/>
          <w:lang w:val="en-US" w:eastAsia="zh-CN" w:bidi="ar-SA"/>
        </w:rPr>
      </w:pPr>
    </w:p>
    <w:p>
      <w:pPr>
        <w:pStyle w:val="3"/>
        <w:keepNext/>
        <w:keepLines/>
        <w:pageBreakBefore w:val="0"/>
        <w:widowControl w:val="0"/>
        <w:kinsoku/>
        <w:wordWrap/>
        <w:overflowPunct/>
        <w:topLinePunct w:val="0"/>
        <w:autoSpaceDE/>
        <w:autoSpaceDN/>
        <w:bidi w:val="0"/>
        <w:adjustRightInd/>
        <w:snapToGrid/>
        <w:spacing w:before="24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Cs/>
          <w:color w:val="000000"/>
          <w:spacing w:val="0"/>
          <w:kern w:val="2"/>
          <w:sz w:val="32"/>
          <w:szCs w:val="32"/>
          <w:lang w:val="en-US" w:eastAsia="zh-CN" w:bidi="ar-SA"/>
        </w:rPr>
        <w:t>第九章  丰富精神文化生活  推动</w:t>
      </w:r>
      <w:bookmarkEnd w:id="211"/>
      <w:r>
        <w:rPr>
          <w:rFonts w:hint="default" w:ascii="Times New Roman" w:hAnsi="Times New Roman" w:eastAsia="黑体" w:cs="Times New Roman"/>
          <w:bCs/>
          <w:color w:val="000000"/>
          <w:spacing w:val="0"/>
          <w:kern w:val="2"/>
          <w:sz w:val="32"/>
          <w:szCs w:val="32"/>
          <w:lang w:val="en-US" w:eastAsia="zh-CN" w:bidi="ar-SA"/>
        </w:rPr>
        <w:t>文化繁荣发展</w:t>
      </w:r>
      <w:bookmarkStart w:id="256" w:name="_Toc12868"/>
      <w:r>
        <w:rPr>
          <w:rFonts w:hint="default" w:ascii="Times New Roman" w:hAnsi="Times New Roman" w:eastAsia="黑体" w:cs="Times New Roman"/>
          <w:bCs/>
          <w:color w:val="000000"/>
          <w:spacing w:val="0"/>
          <w:kern w:val="2"/>
          <w:sz w:val="32"/>
          <w:szCs w:val="32"/>
          <w:lang w:val="en-US" w:eastAsia="zh-CN" w:bidi="ar-SA"/>
        </w:rPr>
        <w:t>达到新高度</w:t>
      </w:r>
      <w:bookmarkEnd w:id="25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坚持马克思主义在意识形态领域的指导地位</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围绕举旗帜</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聚民心</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育新人</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兴文化</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展形象的使命任务</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以社会主义核心价值观引领文化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繁荣发展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推进精神文明建设，不断提升人民思想觉悟、道德水准、文明素质和全社会文明程度</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color w:val="000000" w:themeColor="text1"/>
          <w:highlight w:val="none"/>
          <w:lang w:val="en-US" w:eastAsia="zh-CN"/>
          <w14:textFill>
            <w14:solidFill>
              <w14:schemeClr w14:val="tx1"/>
            </w14:solidFill>
          </w14:textFill>
        </w:rPr>
      </w:pPr>
      <w:bookmarkStart w:id="257" w:name="_Toc21650"/>
      <w:bookmarkStart w:id="258" w:name="_Toc25617"/>
      <w:r>
        <w:rPr>
          <w:rFonts w:hint="default" w:ascii="Times New Roman" w:hAnsi="Times New Roman" w:eastAsia="方正黑体简体" w:cs="Times New Roman"/>
          <w:color w:val="000000"/>
          <w:spacing w:val="0"/>
          <w:sz w:val="32"/>
          <w:szCs w:val="32"/>
        </w:rPr>
        <w:t>第</w:t>
      </w:r>
      <w:r>
        <w:rPr>
          <w:rFonts w:hint="default" w:ascii="Times New Roman" w:hAnsi="Times New Roman" w:eastAsia="方正黑体简体" w:cs="Times New Roman"/>
          <w:color w:val="000000"/>
          <w:spacing w:val="0"/>
          <w:sz w:val="32"/>
          <w:szCs w:val="32"/>
          <w:lang w:val="en-US" w:eastAsia="zh-CN"/>
        </w:rPr>
        <w:t>一节</w:t>
      </w:r>
      <w:r>
        <w:rPr>
          <w:rFonts w:hint="default" w:ascii="Times New Roman" w:hAnsi="Times New Roman" w:eastAsia="方正黑体简体" w:cs="Times New Roman"/>
          <w:color w:val="000000"/>
          <w:spacing w:val="0"/>
          <w:sz w:val="32"/>
          <w:szCs w:val="32"/>
        </w:rPr>
        <w:t xml:space="preserve"> </w:t>
      </w:r>
      <w:bookmarkEnd w:id="257"/>
      <w:r>
        <w:rPr>
          <w:rFonts w:hint="default" w:ascii="Times New Roman" w:hAnsi="Times New Roman" w:eastAsia="方正黑体简体" w:cs="Times New Roman"/>
          <w:color w:val="000000"/>
          <w:spacing w:val="0"/>
          <w:sz w:val="32"/>
          <w:szCs w:val="32"/>
          <w:lang w:val="en-US" w:eastAsia="zh-CN"/>
        </w:rPr>
        <w:t xml:space="preserve"> 不断提高社会文明程度</w:t>
      </w:r>
      <w:bookmarkEnd w:id="25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大力弘扬社会主义核心价值观，推动形成适应新时代要求的思想观念、精神面貌、文明风尚、行为规范，引导人们坚定理论自信、制度自信、道路自信、文化自信。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实施创新理论铸魂工程。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健全完善党的创新理论学习教育机制，深入开展习近平新时代中国特色社会主义思想学习教育，推动理想信念教育常态化制度化，落实意识形态工作责任制。加强党史、新中国史、改革开放史、社会主义发展史教育，深化爱国主义、集体主义、社会主义教育，大力弘扬党和人民在各个历史时期奋斗中形成的伟大精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spacing w:val="-6"/>
          <w:sz w:val="30"/>
          <w:szCs w:val="30"/>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实施道德建设引领工程。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深入推进公民道德建设，拓展新时代文明实践中心（站、所）建设。选树宣传道德模范、劳动模范等先进典型，以先进模范引领道德风尚。推进移风易俗制度化、常态化，培育文明乡风、良好家风、淳朴民风。</w:t>
      </w:r>
      <w:r>
        <w:rPr>
          <w:rFonts w:hint="default" w:ascii="Times New Roman" w:hAnsi="Times New Roman" w:eastAsia="方正仿宋_GBK" w:cs="Times New Roman"/>
          <w:color w:val="000000" w:themeColor="text1"/>
          <w:spacing w:val="-6"/>
          <w:highlight w:val="none"/>
          <w:lang w:val="en-US" w:eastAsia="zh-CN"/>
          <w14:textFill>
            <w14:solidFill>
              <w14:schemeClr w14:val="tx1"/>
            </w14:solidFill>
          </w14:textFill>
        </w:rPr>
        <w:t>加强政务诚信、商务诚信、社会诚信和司法公信建设，弘扬诚信文化，建设诚信吴忠。</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实施文明创建升华工程。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继续推进全国文明城市创建，构建长效常态创建机制。推动文明村镇、文明单位、文明家庭、文明校园扩面提质，持续推进家庭家教家风建设，全面提升城乡文明程度。加快</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志愿之城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创建，培育一批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国字号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志愿服务品牌。设立兰花志愿服务专项基金，建设兰花芬芳志愿服务展馆。推进网络精神文明建设，发展积极健康的网络文化。</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9" w:name="_Toc23346"/>
      <w:bookmarkStart w:id="260" w:name="_Toc19281"/>
      <w:bookmarkStart w:id="261" w:name="_Toc6211"/>
      <w:bookmarkStart w:id="262" w:name="_Toc24494"/>
      <w:bookmarkStart w:id="263" w:name="_Toc3857"/>
      <w:r>
        <w:rPr>
          <w:rFonts w:hint="default" w:ascii="Times New Roman" w:hAnsi="Times New Roman" w:eastAsia="方正黑体简体" w:cs="Times New Roman"/>
          <w:color w:val="000000"/>
          <w:spacing w:val="0"/>
          <w:sz w:val="32"/>
          <w:szCs w:val="32"/>
          <w:lang w:eastAsia="zh-CN"/>
        </w:rPr>
        <w:t>第</w:t>
      </w:r>
      <w:r>
        <w:rPr>
          <w:rFonts w:hint="default" w:ascii="Times New Roman" w:hAnsi="Times New Roman" w:eastAsia="方正黑体简体" w:cs="Times New Roman"/>
          <w:color w:val="000000"/>
          <w:spacing w:val="0"/>
          <w:sz w:val="32"/>
          <w:szCs w:val="32"/>
          <w:lang w:val="en-US" w:eastAsia="zh-CN"/>
        </w:rPr>
        <w:t>二</w:t>
      </w:r>
      <w:r>
        <w:rPr>
          <w:rFonts w:hint="default" w:ascii="Times New Roman" w:hAnsi="Times New Roman" w:eastAsia="方正黑体简体" w:cs="Times New Roman"/>
          <w:color w:val="000000"/>
          <w:spacing w:val="0"/>
          <w:sz w:val="32"/>
          <w:szCs w:val="32"/>
          <w:lang w:eastAsia="zh-CN"/>
        </w:rPr>
        <w:t>节</w:t>
      </w:r>
      <w:r>
        <w:rPr>
          <w:rFonts w:hint="default" w:ascii="Times New Roman" w:hAnsi="Times New Roman" w:eastAsia="方正黑体简体" w:cs="Times New Roman"/>
          <w:color w:val="000000"/>
          <w:spacing w:val="0"/>
          <w:sz w:val="32"/>
          <w:szCs w:val="32"/>
          <w:lang w:val="en-US" w:eastAsia="zh-CN"/>
        </w:rPr>
        <w:t xml:space="preserve">  提升文化</w:t>
      </w:r>
      <w:bookmarkEnd w:id="259"/>
      <w:bookmarkEnd w:id="260"/>
      <w:bookmarkEnd w:id="261"/>
      <w:r>
        <w:rPr>
          <w:rFonts w:hint="default" w:ascii="Times New Roman" w:hAnsi="Times New Roman" w:eastAsia="方正黑体简体" w:cs="Times New Roman"/>
          <w:color w:val="000000"/>
          <w:spacing w:val="0"/>
          <w:sz w:val="32"/>
          <w:szCs w:val="32"/>
          <w:lang w:val="en-US" w:eastAsia="zh-CN"/>
        </w:rPr>
        <w:t>产品供给质量</w:t>
      </w:r>
      <w:bookmarkEnd w:id="262"/>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22"/>
          <w:highlight w:val="none"/>
          <w:lang w:val="en-US" w:eastAsia="zh-CN" w:bidi="ar-SA"/>
          <w14:textFill>
            <w14:solidFill>
              <w14:schemeClr w14:val="tx1"/>
            </w14:solidFill>
          </w14:textFill>
        </w:rPr>
        <w:t>巩固提升国家公共文化服务体系示范区成果，不断完善公共文化网络体系，提供优质文化服务和产品，推进基本公共文化服务扩面增效。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完善公共文化设施网络。</w:t>
      </w:r>
      <w:r>
        <w:rPr>
          <w:rFonts w:hint="default" w:ascii="Times New Roman" w:hAnsi="Times New Roman" w:eastAsia="方正仿宋_GBK" w:cs="Times New Roman"/>
          <w:color w:val="000000" w:themeColor="text1"/>
          <w:highlight w:val="none"/>
          <w14:textFill>
            <w14:solidFill>
              <w14:schemeClr w14:val="tx1"/>
            </w14:solidFill>
          </w14:textFill>
        </w:rPr>
        <w:t>优化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公共</w:t>
      </w:r>
      <w:r>
        <w:rPr>
          <w:rFonts w:hint="default" w:ascii="Times New Roman" w:hAnsi="Times New Roman" w:eastAsia="方正仿宋_GBK" w:cs="Times New Roman"/>
          <w:color w:val="000000" w:themeColor="text1"/>
          <w:highlight w:val="none"/>
          <w14:textFill>
            <w14:solidFill>
              <w14:schemeClr w14:val="tx1"/>
            </w14:solidFill>
          </w14:textFill>
        </w:rPr>
        <w:t>文化资源配置，着力提升公共文化服务效能。推进市、县（区）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文化</w:t>
      </w:r>
      <w:r>
        <w:rPr>
          <w:rFonts w:hint="default" w:ascii="Times New Roman" w:hAnsi="Times New Roman" w:eastAsia="方正仿宋_GBK" w:cs="Times New Roman"/>
          <w:color w:val="000000" w:themeColor="text1"/>
          <w:highlight w:val="none"/>
          <w14:textFill>
            <w14:solidFill>
              <w14:schemeClr w14:val="tx1"/>
            </w14:solidFill>
          </w14:textFill>
        </w:rPr>
        <w:t>馆、图书馆、博物馆和乡镇（街道）综合文化站达标升级、发挥作用，提升村（社区）综合文化服务中心服务功能。完善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县级</w:t>
      </w:r>
      <w:r>
        <w:rPr>
          <w:rFonts w:hint="default" w:ascii="Times New Roman" w:hAnsi="Times New Roman" w:eastAsia="方正仿宋_GBK" w:cs="Times New Roman"/>
          <w:color w:val="000000" w:themeColor="text1"/>
          <w:highlight w:val="none"/>
          <w14:textFill>
            <w14:solidFill>
              <w14:schemeClr w14:val="tx1"/>
            </w14:solidFill>
          </w14:textFill>
        </w:rPr>
        <w:t>公共图书馆、文化馆总分馆制建设，</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2025年，</w:t>
      </w:r>
      <w:r>
        <w:rPr>
          <w:rFonts w:hint="default" w:ascii="Times New Roman" w:hAnsi="Times New Roman" w:eastAsia="方正仿宋_GBK" w:cs="Times New Roman"/>
          <w:color w:val="000000" w:themeColor="text1"/>
          <w:highlight w:val="none"/>
          <w14:textFill>
            <w14:solidFill>
              <w14:schemeClr w14:val="tx1"/>
            </w14:solidFill>
          </w14:textFill>
        </w:rPr>
        <w:t>国家一级馆数量达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到9个</w:t>
      </w:r>
      <w:r>
        <w:rPr>
          <w:rFonts w:hint="default" w:ascii="Times New Roman" w:hAnsi="Times New Roman" w:eastAsia="方正仿宋_GBK" w:cs="Times New Roman"/>
          <w:color w:val="000000" w:themeColor="text1"/>
          <w:highlight w:val="none"/>
          <w14:textFill>
            <w14:solidFill>
              <w14:schemeClr w14:val="tx1"/>
            </w14:solidFill>
          </w14:textFill>
        </w:rPr>
        <w:t>，实现县级三馆、村综合文化服务中心全覆盖。建强用好市县融媒体中心，支持市新闻传媒中心深化改革，推进有线、无线、卫星协调发展，构建三网融合全业务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体</w:t>
      </w:r>
      <w:r>
        <w:rPr>
          <w:rFonts w:hint="default" w:ascii="Times New Roman" w:hAnsi="Times New Roman" w:eastAsia="方正仿宋_GBK" w:cs="Times New Roman"/>
          <w:color w:val="000000" w:themeColor="text1"/>
          <w:highlight w:val="none"/>
          <w14:textFill>
            <w14:solidFill>
              <w14:schemeClr w14:val="tx1"/>
            </w14:solidFill>
          </w14:textFill>
        </w:rPr>
        <w:t>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提供优质公共文化服务。</w:t>
      </w:r>
      <w:r>
        <w:rPr>
          <w:rFonts w:hint="default" w:ascii="Times New Roman" w:hAnsi="Times New Roman" w:eastAsia="方正仿宋_GBK" w:cs="Times New Roman"/>
          <w:color w:val="000000" w:themeColor="text1"/>
          <w:highlight w:val="none"/>
          <w14:textFill>
            <w14:solidFill>
              <w14:schemeClr w14:val="tx1"/>
            </w14:solidFill>
          </w14:textFill>
        </w:rPr>
        <w:t>深化文化体制改革，健全文化事业财政投入正常增长机制，积极培育文化非营利组织，引导鼓励社会力量、社会资本参与公共文化服务建设。加强公共文化产品的创作与生产，推出一批唱响新时代、迈向新征程的文艺精品。大力实施文化惠民工程，推进公共文化场馆免费开放和错时开放，健全基本公共文化服务项目，打造特色公共文化服务惠民品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弘扬优秀传统文化。</w:t>
      </w:r>
      <w:r>
        <w:rPr>
          <w:rFonts w:hint="default" w:ascii="Times New Roman" w:hAnsi="Times New Roman" w:eastAsia="方正仿宋_GBK" w:cs="Times New Roman"/>
          <w:color w:val="000000" w:themeColor="text1"/>
          <w:highlight w:val="none"/>
          <w14:textFill>
            <w14:solidFill>
              <w14:schemeClr w14:val="tx1"/>
            </w14:solidFill>
          </w14:textFill>
        </w:rPr>
        <w:t>实施传统文化浸润工程，深入挖掘传统文化蕴含的时代价值。</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深入推进</w:t>
      </w:r>
      <w:r>
        <w:rPr>
          <w:rFonts w:hint="default" w:ascii="Times New Roman" w:hAnsi="Times New Roman" w:eastAsia="方正仿宋_GBK" w:cs="Times New Roman"/>
          <w:color w:val="000000" w:themeColor="text1"/>
          <w:highlight w:val="none"/>
          <w14:textFill>
            <w14:solidFill>
              <w14:schemeClr w14:val="tx1"/>
            </w14:solidFill>
          </w14:textFill>
        </w:rPr>
        <w:t>全民阅读</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基本形成覆盖城乡的全民阅读推广服务体系</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打造</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书香吴忠</w:t>
      </w:r>
      <w:r>
        <w:rPr>
          <w:rFonts w:hint="eastAsia"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实施乡村传统工艺振兴计划，加强传统村落、传统建筑、农业遗迹等物质文化遗产保护性开发，创意开发传统民间艺术、戏曲艺术、手工技艺、民俗活动等非物质文化遗产。深化文学艺术、新闻出版、影视等领域对外交流合作，推动文化交流互鉴。</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加快发展文化产业。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文化产业发展扶持政策，发挥自治区文化产业发展专项资金引导作用，提升发展新闻出版、广播影视、文学艺术等传统文化产业，加快培育创意设计、数字会展、电竞赛事、演艺娱乐等新兴文化业态和消费模式。积极推进文化产业园区建设，加大文化企业招商引资力度，引进培育一批主业突出的文化企业。加快传统媒体与新兴媒体深度融合，打造吴忠新闻传媒中心报、台、网、端融媒体传播矩阵，提升平台经营价值，开展跨界服务，增强自身造血能力。</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4" w:name="_Toc28222"/>
      <w:r>
        <w:rPr>
          <w:rFonts w:hint="default" w:ascii="Times New Roman" w:hAnsi="Times New Roman" w:eastAsia="方正黑体简体" w:cs="Times New Roman"/>
          <w:color w:val="000000"/>
          <w:spacing w:val="0"/>
          <w:sz w:val="32"/>
          <w:szCs w:val="32"/>
          <w:lang w:val="en-US" w:eastAsia="zh-CN"/>
        </w:rPr>
        <w:t>第三节  推进体育事业蓬勃发展</w:t>
      </w:r>
      <w:bookmarkEnd w:id="264"/>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以完善公共体育服务体系为重点，提高竞技体育水平，促进体育产业发展，实施全民健身计划，推广各类民族、民间、民俗传统运动。</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提升体育健身设施配置。</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加强贴近社区、方便可达的体育公园、多功能运动场、健身步道、健身中心、游泳馆等场地设施建设，完善</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15分钟健身圈</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。推动全民健身设施向基层倾斜，补齐乡村体育设施短板弱项，形成城乡互补、配置均衡、规模适当的体育设施格局。</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广泛开展全民健身活动。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培育挖掘群众喜闻乐见、富有地域特色的各类群众体育运动项目，实现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一地一品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覆盖。探索多元主体办赛制，争取全国或国际大型体育赛事落户吴忠，依托冰雪资源优势，搭建冰雪运动平台，提升全国航空航天模型锦标赛、贺兰山东麓山地旅游自行车赛等赛事规模品质，培育集运动休闲、度假旅游于一体的品牌体育赛事。</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增强竞技体育综合实力。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科学谋划竞技体育项目布局，积极备战自治区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十六运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，高标准举办全市第五届运动会；持续推动体教融合，建立全市以青少年</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三大球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为主的联赛机制，创新体育人才培养、选拔、输送和激励保障机制，确保全市注册运动员和等级运动员人数逐年递增。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015" w:type="dxa"/>
            <w:vAlign w:val="center"/>
          </w:tcPr>
          <w:p>
            <w:pPr>
              <w:pStyle w:val="34"/>
              <w:bidi w:val="0"/>
              <w:rPr>
                <w:rFonts w:hint="default" w:ascii="Times New Roman" w:hAnsi="Times New Roman" w:eastAsia="宋体" w:cs="Times New Roman"/>
                <w:color w:val="000000" w:themeColor="text1"/>
                <w:szCs w:val="24"/>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12</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文化体育重点工程项目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1.市区文体重点项目：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长城资源普查及长城精神文化发掘工程项目；吴忠科技馆（二期）改造项目；马月坡寨子文物保护修缮工程；话剧《兰花芬芳》项目；黄河文化综艺《长河圩歌》项目；贺兰山东麓（鸽子山）自行车户外运动骑行公园项目；吴忠市滨河体育运动公园场地设施改造项目，吴忠市档案馆新馆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2.利通区：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苦水河沿线景观及传统村落保护与开发建设项目；苦水河沿线健身步道项目；县级公共体育场田径跑道和足球场项目；红色文化教育实践基地项目；光耀美食街游客接待中心改建项目；金积发达镇体育公园建设项目；</w:t>
            </w:r>
            <w:r>
              <w:rPr>
                <w:rFonts w:hint="default" w:ascii="Times New Roman" w:hAnsi="Times New Roman" w:cs="Times New Roman"/>
                <w:color w:val="000000" w:themeColor="text1"/>
                <w:spacing w:val="6"/>
                <w:sz w:val="26"/>
                <w:szCs w:val="26"/>
                <w:highlight w:val="none"/>
                <w:lang w:val="en-US" w:eastAsia="zh-CN"/>
                <w14:textFill>
                  <w14:solidFill>
                    <w14:schemeClr w14:val="tx1"/>
                  </w14:solidFill>
                </w14:textFill>
              </w:rPr>
              <w:t>石佛寺村八组国家级传统村落游客接待中心暨公共文化服务中心提升改造项目。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3.红寺堡区：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非遗传习中心暨文化广场项目；弘德红色文化（研学）教育基地项目；滑雪场建设项目；游泳馆建设项目；柳泉、大河乡全民健身活动中心项目。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4.青铜峡市：</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文旅融合演艺进景区项目；柳木皋至双河子沟段房车及长城徒步园区项目；明长城文化展示园项目；图书馆总分馆建设项目；博物馆建设项目；电影院提升改造项目；非物质文化展示园项目；青铜峡镇全民健身中心建设项目；牛首山登山步道建设项目；贺兰山东麓葡萄园区自行车骑行道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5.盐池县：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长城国家文化公园毛泽民纪念馆改扩建项目；窨子梁唐墓基础设施及本体修缮项目；盐州古城历史文化旅游区文旅提升建设项目；曹泥洼民俗村配套设施项目；全民健身中心项目；冰雪馆项目；体育公园项目；航空飞行营地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000000" w:themeColor="text1"/>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6.同心县：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明王陵旅游观光建设项目；明代长城（固原内边）文物保护基础设施建设项目；清水河文化交流中心建设项目；同心县文化馆新建项目；羊绒博物馆建设项目；文化艺术园建设项目；村级综合文化服务中心提升改造项目；乡镇图书馆建设项目；豫海体育健身中心项目；游泳馆建设项目。</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24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bookmarkEnd w:id="263"/>
      <w:bookmarkStart w:id="265" w:name="_Toc21557"/>
      <w:r>
        <w:rPr>
          <w:rFonts w:hint="default" w:ascii="Times New Roman" w:hAnsi="Times New Roman" w:eastAsia="黑体" w:cs="Times New Roman"/>
          <w:bCs/>
          <w:color w:val="000000"/>
          <w:spacing w:val="0"/>
          <w:kern w:val="2"/>
          <w:sz w:val="32"/>
          <w:szCs w:val="32"/>
          <w:lang w:val="en-US" w:eastAsia="zh-CN" w:bidi="ar-SA"/>
        </w:rPr>
        <w:t>第十章  持续增进民生福祉  满足人民对美好生活新期待</w:t>
      </w:r>
      <w:bookmarkEnd w:id="265"/>
    </w:p>
    <w:p>
      <w:pPr>
        <w:bidi w:val="0"/>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266" w:name="_Toc17265"/>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坚持以人民为中心的发展思想，实施好移民致富提升、城乡居民收入提升、基础教育优质均衡提升、公共卫生优质服务提升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四大提升行动</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，不断增进人民福祉，促进共同富裕。</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7" w:name="_Toc6268"/>
      <w:r>
        <w:rPr>
          <w:rFonts w:hint="default" w:ascii="Times New Roman" w:hAnsi="Times New Roman" w:eastAsia="方正黑体简体" w:cs="Times New Roman"/>
          <w:color w:val="000000"/>
          <w:spacing w:val="0"/>
          <w:sz w:val="32"/>
          <w:szCs w:val="32"/>
          <w:lang w:val="en-US" w:eastAsia="zh-CN"/>
        </w:rPr>
        <w:t>第一节  提高居民就业和收入水平</w:t>
      </w:r>
      <w:bookmarkEnd w:id="267"/>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经济发展就业导向，强化就业优先政策，扩大就业容量、优化就业结构、提升就业质量，提高城乡居民收入水平的协同性、可持续性。到2025年，城镇调查失业率控制在5.5%以内，确保经济增长与居民收入同步增长。</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8" w:name="_Toc10193"/>
      <w:bookmarkStart w:id="269" w:name="_Toc13525"/>
      <w:r>
        <w:rPr>
          <w:rFonts w:hint="default" w:ascii="Times New Roman" w:hAnsi="Times New Roman" w:cs="Times New Roman"/>
          <w:color w:val="000000" w:themeColor="text1"/>
          <w:highlight w:val="none"/>
          <w:lang w:val="en-US" w:eastAsia="zh-CN"/>
          <w14:textFill>
            <w14:solidFill>
              <w14:schemeClr w14:val="tx1"/>
            </w14:solidFill>
          </w14:textFill>
        </w:rPr>
        <w:t>一、促进更加充分更高质量就业</w:t>
      </w:r>
      <w:bookmarkEnd w:id="266"/>
      <w:bookmarkEnd w:id="268"/>
      <w:bookmarkEnd w:id="269"/>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firstLine="643"/>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推进创业带动就业。</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建立健全促进创业带动就业、多渠道灵活就业机制，完善收入稳定可预期增长机制，通过创新创业不断扩大中等收入群体。聚焦</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互联网平台+创业单元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等新模式，围绕家政服务、养老托育、乡村旅游、快递物流等就业潜力大的服务领域，加大就业创业补贴政策落实力度，集中培育一批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双创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带动就业示范项目。到2025年，创建自治区级创业孵化基地3个。</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强化职业技能培训。</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市场需求为导向，建立健全终身职业技能培训制度。开展职业技能培训提升行动，加大对失业人员、农民工、家政服务人员等培训力度，提升劳动者职业技能水平和就业创新能力。加强公共技能实训基地、产教融合实训基地和农村创业创新实训基地建设，鼓励高中毕业生、退役军人、下岗人员和新型职业农民接受高等职业教育。落实好职业技能提升培训补贴政策，激发企业在岗职工提升技能的积极性和主动性，不断提升企业职工职业技能水平。</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提升公共就业服务能力。</w:t>
      </w:r>
      <w:r>
        <w:rPr>
          <w:rFonts w:hint="default" w:ascii="Times New Roman" w:hAnsi="Times New Roman" w:eastAsia="方正仿宋_GBK" w:cs="Times New Roman"/>
          <w:color w:val="000000" w:themeColor="text1"/>
          <w:highlight w:val="none"/>
          <w:lang w:eastAsia="zh-CN"/>
          <w14:textFill>
            <w14:solidFill>
              <w14:schemeClr w14:val="tx1"/>
            </w14:solidFill>
          </w14:textFill>
        </w:rPr>
        <w:t>推进吴忠市公共就业服务体系建设，建立全市统一的人力资源市场供求信息系统，完善就业实名制登记信息库，健全乡镇（街道）、村（社区）专职就业服务网格员队伍。完善劳动关系协调机制，扩大开发公益性岗位，加大就业困难群体的帮扶。拓宽高校毕业生就业渠道，开发适合大学生就业的公共</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服务</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岗位。健全就业需求调查和失业预警监测机制，促进供求双方即时匹配、智能匹配，有效防范和应对规模性失业。</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70" w:name="_Toc18759"/>
      <w:bookmarkStart w:id="271" w:name="_Toc31493"/>
      <w:bookmarkStart w:id="272" w:name="_Toc30057"/>
      <w:r>
        <w:rPr>
          <w:rFonts w:hint="default" w:ascii="Times New Roman" w:hAnsi="Times New Roman" w:cs="Times New Roman"/>
          <w:color w:val="000000" w:themeColor="text1"/>
          <w:highlight w:val="none"/>
          <w:lang w:val="en-US" w:eastAsia="zh-CN"/>
          <w14:textFill>
            <w14:solidFill>
              <w14:schemeClr w14:val="tx1"/>
            </w14:solidFill>
          </w14:textFill>
        </w:rPr>
        <w:t>二、增强城乡居民持续增收能力</w:t>
      </w:r>
      <w:bookmarkEnd w:id="270"/>
      <w:bookmarkEnd w:id="271"/>
      <w:bookmarkEnd w:id="272"/>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提高城镇居民收入。</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健全科学的工资水平决定机制和正常增长机制，逐步规范企业薪酬调查和信息发布制度，深化国有企业负责人薪酬制度改革，规范国有企业收入分配秩序，加大非公有制企业工资集体协商力度，缩小工资水平差距。落实事业单位工资制度改革方案，建立健全事业单位工资和津贴补贴政策调整机制，加大向基层一线工作人员倾斜力度。鼓励劳动者以技术、知识、管理等参与分配，提高人力资本参与初次分配比重。鼓励民间投资和创业致富，扩宽经营性收入来源。到2025年，城镇常住居民人均可支配收入达到41700元。</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拓宽农民增收渠道。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支持农业龙头企业、合作社发展，大力发展乡村特色产业、乡村休闲旅游业、乡村新型服务业等，提高产业规模化、组织化程度，带动农民产业增收。落实农民工工资支付制度，鼓励农民外出务工经商和转移就业，增加农民工资性收入。认真落实耕地地力补贴、良种补贴、农机具购置补贴等支农惠农政策，加大惠民补贴力度。加快土地流转，释放财产性收入红利，拓展农民收入增长空间。到2025年，农村常住居民人均可支配收入达到21600元。</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kern w:val="2"/>
          <w:sz w:val="30"/>
          <w:szCs w:val="30"/>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促进移民致富提升。</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将发展扶持产业作为移民增收关键，精准开展就业服务指导，用好扶贫车间就近就业，开发公益岗位托底就业，组织劳务输出转移就业，鼓励移民创业带动就业，稳步增加移民生产经营性收入，实现移民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稳得住、能发展、可致富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73" w:name="_Toc17844"/>
      <w:bookmarkStart w:id="274" w:name="_Toc12138"/>
      <w:bookmarkStart w:id="275" w:name="_Toc9600"/>
      <w:bookmarkStart w:id="276" w:name="_Toc6239"/>
      <w:bookmarkStart w:id="277" w:name="_Toc2737"/>
      <w:r>
        <w:rPr>
          <w:rFonts w:hint="default" w:ascii="Times New Roman" w:hAnsi="Times New Roman" w:eastAsia="方正黑体简体" w:cs="Times New Roman"/>
          <w:color w:val="000000"/>
          <w:spacing w:val="0"/>
          <w:sz w:val="32"/>
          <w:szCs w:val="32"/>
          <w:lang w:val="en-US" w:eastAsia="zh-CN"/>
        </w:rPr>
        <w:t xml:space="preserve">第二节 </w:t>
      </w:r>
      <w:bookmarkEnd w:id="273"/>
      <w:r>
        <w:rPr>
          <w:rFonts w:hint="default" w:ascii="Times New Roman" w:hAnsi="Times New Roman" w:eastAsia="方正黑体简体" w:cs="Times New Roman"/>
          <w:color w:val="000000"/>
          <w:spacing w:val="0"/>
          <w:sz w:val="32"/>
          <w:szCs w:val="32"/>
          <w:lang w:val="en-US" w:eastAsia="zh-CN"/>
        </w:rPr>
        <w:t xml:space="preserve"> 加快推进教育现代化</w:t>
      </w:r>
      <w:bookmarkEnd w:id="274"/>
      <w:bookmarkEnd w:id="275"/>
      <w:bookmarkEnd w:id="276"/>
      <w:bookmarkEnd w:id="277"/>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eastAsia="zh-CN"/>
          <w14:textFill>
            <w14:solidFill>
              <w14:schemeClr w14:val="tx1"/>
            </w14:solidFill>
          </w14:textFill>
        </w:rPr>
        <w:t>坚持教育优先发展，着力推动</w:t>
      </w:r>
      <w:r>
        <w:rPr>
          <w:rFonts w:hint="default" w:ascii="Times New Roman" w:hAnsi="Times New Roman" w:eastAsia="方正仿宋_GBK" w:cs="Times New Roman"/>
          <w:color w:val="000000" w:themeColor="text1"/>
          <w:highlight w:val="none"/>
          <w14:textFill>
            <w14:solidFill>
              <w14:schemeClr w14:val="tx1"/>
            </w14:solidFill>
          </w14:textFill>
        </w:rPr>
        <w:t>学前教育普及普惠发展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义务教育优质均衡发展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普通高中多样化有特色发展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职业教育</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产教融合发展、</w:t>
      </w:r>
      <w:r>
        <w:rPr>
          <w:rFonts w:hint="default" w:ascii="Times New Roman" w:hAnsi="Times New Roman" w:eastAsia="方正仿宋_GBK" w:cs="Times New Roman"/>
          <w:color w:val="000000" w:themeColor="text1"/>
          <w:highlight w:val="none"/>
          <w14:textFill>
            <w14:solidFill>
              <w14:schemeClr w14:val="tx1"/>
            </w14:solidFill>
          </w14:textFill>
        </w:rPr>
        <w:t>终身教育多元</w:t>
      </w:r>
      <w:r>
        <w:rPr>
          <w:rFonts w:hint="default" w:ascii="Times New Roman" w:hAnsi="Times New Roman" w:eastAsia="方正仿宋_GBK" w:cs="Times New Roman"/>
          <w:color w:val="000000" w:themeColor="text1"/>
          <w:highlight w:val="none"/>
          <w:lang w:eastAsia="zh-CN"/>
          <w14:textFill>
            <w14:solidFill>
              <w14:schemeClr w14:val="tx1"/>
            </w14:solidFill>
          </w14:textFill>
        </w:rPr>
        <w:t>化</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特殊教育</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专业化发展，</w:t>
      </w:r>
      <w:r>
        <w:rPr>
          <w:rFonts w:hint="default" w:ascii="Times New Roman" w:hAnsi="Times New Roman" w:eastAsia="方正仿宋_GBK" w:cs="Times New Roman"/>
          <w:color w:val="000000" w:themeColor="text1"/>
          <w:highlight w:val="none"/>
          <w14:textFill>
            <w14:solidFill>
              <w14:schemeClr w14:val="tx1"/>
            </w14:solidFill>
          </w14:textFill>
        </w:rPr>
        <w:t>努力构建网络化、数字化、个性化</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14:textFill>
            <w14:solidFill>
              <w14:schemeClr w14:val="tx1"/>
            </w14:solidFill>
          </w14:textFill>
        </w:rPr>
        <w:t>服务全民终身学习的现代教育体系</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78" w:name="_Toc28636"/>
      <w:bookmarkStart w:id="279" w:name="_Toc6857"/>
      <w:bookmarkStart w:id="280" w:name="_Toc11707"/>
      <w:bookmarkStart w:id="281" w:name="_Toc12699"/>
      <w:bookmarkStart w:id="282" w:name="_Toc30951"/>
      <w:bookmarkStart w:id="283" w:name="_Toc22660"/>
      <w:bookmarkStart w:id="284" w:name="_Toc29163"/>
      <w:r>
        <w:rPr>
          <w:rFonts w:hint="default" w:ascii="Times New Roman" w:hAnsi="Times New Roman" w:cs="Times New Roman"/>
          <w:color w:val="000000" w:themeColor="text1"/>
          <w:highlight w:val="none"/>
          <w:lang w:val="en-US" w:eastAsia="zh-CN"/>
          <w14:textFill>
            <w14:solidFill>
              <w14:schemeClr w14:val="tx1"/>
            </w14:solidFill>
          </w14:textFill>
        </w:rPr>
        <w:t>一</w:t>
      </w:r>
      <w:bookmarkEnd w:id="278"/>
      <w:bookmarkEnd w:id="279"/>
      <w:bookmarkEnd w:id="280"/>
      <w:bookmarkEnd w:id="281"/>
      <w:r>
        <w:rPr>
          <w:rFonts w:hint="default" w:ascii="Times New Roman" w:hAnsi="Times New Roman" w:cs="Times New Roman"/>
          <w:color w:val="000000" w:themeColor="text1"/>
          <w:highlight w:val="none"/>
          <w:lang w:val="en-US" w:eastAsia="zh-CN"/>
          <w14:textFill>
            <w14:solidFill>
              <w14:schemeClr w14:val="tx1"/>
            </w14:solidFill>
          </w14:textFill>
        </w:rPr>
        <w:t>、着力推进基础教育优质发展</w:t>
      </w:r>
      <w:bookmarkEnd w:id="282"/>
      <w:bookmarkEnd w:id="283"/>
      <w:bookmarkEnd w:id="284"/>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继续实施学前教育三年行动计划，新（改、扩）建公办幼儿园22所，公办园幼儿比例达到50%以上，坚持落实学前教育普惠健康发展体制机制，到2025年，全市普惠性幼儿园占比达90%以上，学前三年毛入园率达到90%。</w:t>
      </w:r>
      <w:r>
        <w:rPr>
          <w:rFonts w:hint="default" w:ascii="Times New Roman" w:hAnsi="Times New Roman" w:eastAsia="方正仿宋_GBK" w:cs="Times New Roman"/>
          <w:color w:val="000000" w:themeColor="text1"/>
          <w:highlight w:val="none"/>
          <w14:textFill>
            <w14:solidFill>
              <w14:schemeClr w14:val="tx1"/>
            </w14:solidFill>
          </w14:textFill>
        </w:rPr>
        <w:t>推进义务教育城乡、山川协调均衡发展</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改善农村义务教育薄弱学校办学条件，推动公共教育资源重点向农村、欠发达地区倾斜。通过一体化、集团化、托管式办学和科学规划入学片区等措施，发展教育联合体，进一步扩大优质教育资源覆盖面。提升义务教育巩固水平，健全控辍保学工作责任体系。到2025年，小学六年巩固率达到100%，初中三年巩固率达到97%，全市进入全国义务教育发展优质均衡县（市、区）行列。推进普通高中和中等职业教育协调发展，努力保持普通高中和中等职业教育招生规模大体相当，到2025年，全市高中阶段毛入学率达到94%，初中升学率达到98%以上，逐步实现普及高中阶段教育目标。实施残疾儿童少年学前至高中阶段免费教育，发展以职业教育为主的残疾人高中阶段教育，到2025年，全市三类残疾儿童义务教育阶段入学率达到95%以上，特殊教育学校、普通学校随班就读和送教上门运行保障能力全面增强。大力培养高素质专业化教师队伍，提升教师学识能力。</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285" w:name="_Toc21824"/>
      <w:bookmarkStart w:id="286" w:name="_Toc13686"/>
      <w:bookmarkStart w:id="287" w:name="_Toc18072"/>
      <w:bookmarkStart w:id="288" w:name="_Toc9629"/>
      <w:bookmarkStart w:id="289" w:name="_Toc9654"/>
      <w:bookmarkStart w:id="290" w:name="_Toc6545"/>
      <w:bookmarkStart w:id="291" w:name="_Toc28293"/>
      <w:r>
        <w:rPr>
          <w:rFonts w:hint="default" w:ascii="Times New Roman" w:hAnsi="Times New Roman" w:cs="Times New Roman"/>
          <w:color w:val="000000" w:themeColor="text1"/>
          <w:highlight w:val="none"/>
          <w:lang w:eastAsia="zh-CN"/>
          <w14:textFill>
            <w14:solidFill>
              <w14:schemeClr w14:val="tx1"/>
            </w14:solidFill>
          </w14:textFill>
        </w:rPr>
        <w:t>二、加强职业教育融合创新发展</w:t>
      </w:r>
      <w:bookmarkEnd w:id="285"/>
      <w:bookmarkEnd w:id="286"/>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实施职业教育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双高</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计划，促进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双元</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育人，推进职业教育教学改革，强化职业教育基础地位，将职业教育纳入基本公共服务体系和公共财政保障范围。建立健全现代职业教育体系，推进中高职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3+2</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联合贯通培养。加强新型职业农民培养，构建面向三农、服务完善的现代职业农民教育网络。深化产教融合、校企合作，重点建设2个市级综合性公共实训基地和1个市级装备制造专业公共实训基地，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双师型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教师占专业课教师总数达到50%。实施职业院校重点专业群建设工程，重点建设7个以上品牌专业群，打造吴忠职业教育品牌。到2025年，职业院校教学条件基本达到国家标准。</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292" w:name="_Toc8162"/>
      <w:bookmarkStart w:id="293" w:name="_Toc19713"/>
      <w:bookmarkStart w:id="294" w:name="_Toc11679"/>
      <w:bookmarkStart w:id="295" w:name="_Toc9969"/>
      <w:bookmarkStart w:id="296" w:name="_Toc8976"/>
      <w:bookmarkStart w:id="297" w:name="_Toc21826"/>
      <w:bookmarkStart w:id="298" w:name="_Toc1926"/>
      <w:r>
        <w:rPr>
          <w:rFonts w:hint="default" w:ascii="Times New Roman" w:hAnsi="Times New Roman" w:cs="Times New Roman"/>
          <w:color w:val="000000" w:themeColor="text1"/>
          <w:highlight w:val="none"/>
          <w:lang w:eastAsia="zh-CN"/>
          <w14:textFill>
            <w14:solidFill>
              <w14:schemeClr w14:val="tx1"/>
            </w14:solidFill>
          </w14:textFill>
        </w:rPr>
        <w:t>三、构建灵活开放的终身教育体系</w:t>
      </w:r>
      <w:bookmarkEnd w:id="292"/>
      <w:bookmarkEnd w:id="293"/>
      <w:bookmarkEnd w:id="294"/>
      <w:bookmarkEnd w:id="295"/>
      <w:bookmarkEnd w:id="296"/>
      <w:bookmarkEnd w:id="297"/>
      <w:bookmarkEnd w:id="298"/>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强化终身学习、终身教育的理念，构建服务全民终身学习的现代教育体系，建设学习型社会。广泛发展家庭教育指导服务体系、非学历的继续教育体系、老年教育体系、社区教育体系。建立健全现代企业职工教育培训制度，充分发挥企业在职业教育中的主体作用。建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学分银行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市民终身学习卡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个人学分累积与转换制度，实现中高等学历教育、非学历教育的学习成果认证、积累和转换工作，充分发挥自学考试、非学历证书考试在市民终身学习中的作用。建好用好市县各级各类党员干部教育培训机构，创建学习型社区和组织，建成覆盖城乡、贴近群众的社区教育网络。</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99" w:name="_Toc4641"/>
      <w:bookmarkStart w:id="300" w:name="_Toc29773"/>
      <w:bookmarkStart w:id="301" w:name="_Toc13121"/>
      <w:bookmarkStart w:id="302" w:name="_Toc2039"/>
      <w:bookmarkStart w:id="303" w:name="_Toc4599"/>
      <w:bookmarkStart w:id="304" w:name="_Toc4282"/>
      <w:bookmarkStart w:id="305" w:name="_Toc29999"/>
      <w:r>
        <w:rPr>
          <w:rFonts w:hint="default" w:ascii="Times New Roman" w:hAnsi="Times New Roman" w:cs="Times New Roman"/>
          <w:color w:val="000000" w:themeColor="text1"/>
          <w:highlight w:val="none"/>
          <w:lang w:val="en-US" w:eastAsia="zh-CN"/>
          <w14:textFill>
            <w14:solidFill>
              <w14:schemeClr w14:val="tx1"/>
            </w14:solidFill>
          </w14:textFill>
        </w:rPr>
        <w:t>四、积极发展</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互联网+教育</w:t>
      </w:r>
      <w:bookmarkEnd w:id="299"/>
      <w:bookmarkEnd w:id="300"/>
      <w:bookmarkEnd w:id="301"/>
      <w:bookmarkEnd w:id="302"/>
      <w:bookmarkEnd w:id="303"/>
      <w:bookmarkEnd w:id="304"/>
      <w:bookmarkEnd w:id="305"/>
      <w:r>
        <w:rPr>
          <w:rFonts w:hint="eastAsia" w:ascii="Times New Roman" w:hAnsi="Times New Roman" w:cs="Times New Roman"/>
          <w:color w:val="000000" w:themeColor="text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提高信息化应用水平，推动自治区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互联网＋教育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大平台教学应用覆盖全体教师、学习应用覆盖全体适龄学生、数字校园建设覆盖全体学校。创建安全、可靠的网络教学环境，更新多媒体交互式教学设备，建设标准化校园网络，到2025年，校园网络全部实现千兆到桌面，数字监控、无线校园实现全覆盖。开展教师智能助手创新应用，实现教师智能研修全覆盖，到2025年，70%的教师信息技术应用能力达到中级及以上水平。依托宁夏</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教育督导管理平台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，实现督导评估效益最大化。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30"/>
          <w:szCs w:val="30"/>
          <w:highlight w:val="none"/>
          <w:lang w:val="en-US" w:eastAsia="zh-CN"/>
          <w14:textFill>
            <w14:solidFill>
              <w14:schemeClr w14:val="tx1"/>
            </w14:solidFill>
          </w14:textFill>
        </w:rPr>
      </w:pPr>
    </w:p>
    <w:tbl>
      <w:tblPr>
        <w:tblStyle w:val="27"/>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13</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教育重点工程项目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1.市本级：</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新建吴忠市高铁站片区高中、初中、小学项目；新建普通高中学校（吴忠中学分校）项目；吴忠市青少年综合实践学校二期工程；迁建吴忠市特殊教育学校项目；宁夏民族职业技术学院文化体育中心（全民体育健身中心）项目；宁夏民族职业技术学院综合实训中心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2.利通区：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第九中学、第七中学、第十二中学、第十一中学建设项目；金积中学建设项目；利通区第十七小学、第二十小学、第十九小学、第二十一小学、第二十二小学、第二十四小学建设项目；吴忠市滨河幼儿园建设项目；金积第二小学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3.红寺堡区：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红寺堡区第六中学、第七小学项目；红寺堡区</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互联网+教育</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基础设施建设项目；红寺堡区中小学运动场提升项目；红寺堡区营养改善计划学校新建（改造）餐厅项目；红寺堡区中小学厕所改造项目；红寺堡区职业技能实训基地建设项目。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4.青铜峡市：</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青铜峡市</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互联网+教育</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智慧校园项目；青铜峡市第七幼儿园、第八小学、第八中学建设项目；青铜峡市职教中心建设项目；青铜峡市城区中小学体育活动场地改造项目。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5.盐池县：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盐池县幼儿园、义务教育阶段中小学校舍建设（维修）及清洁能源、照明节能改造项目；盐池县学校数字化校园建设项目。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6.同心县：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同心县第七中学建设项目；义务教育薄弱环节学校改善与能力提升项目；同心县新建学校建设项目；同心县第四高级中学建设项目；同心县职业技术学校二期工程；同心县党性教育基地及书吧建设项目。</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06" w:name="_Toc5957"/>
      <w:bookmarkStart w:id="307" w:name="_Toc31048"/>
      <w:bookmarkStart w:id="308" w:name="_Toc14086"/>
      <w:bookmarkStart w:id="309" w:name="_Toc23230"/>
      <w:bookmarkStart w:id="310" w:name="_Toc30502"/>
      <w:bookmarkStart w:id="311" w:name="_Toc20363"/>
      <w:bookmarkStart w:id="312" w:name="_Toc4569"/>
      <w:r>
        <w:rPr>
          <w:rFonts w:hint="default" w:ascii="Times New Roman" w:hAnsi="Times New Roman" w:eastAsia="方正黑体简体" w:cs="Times New Roman"/>
          <w:color w:val="000000"/>
          <w:spacing w:val="0"/>
          <w:sz w:val="32"/>
          <w:szCs w:val="32"/>
          <w:lang w:val="en-US" w:eastAsia="zh-CN"/>
        </w:rPr>
        <w:t>第三节</w:t>
      </w:r>
      <w:bookmarkEnd w:id="306"/>
      <w:bookmarkEnd w:id="307"/>
      <w:bookmarkEnd w:id="308"/>
      <w:r>
        <w:rPr>
          <w:rFonts w:hint="default" w:ascii="Times New Roman" w:hAnsi="Times New Roman" w:eastAsia="方正黑体简体" w:cs="Times New Roman"/>
          <w:color w:val="000000"/>
          <w:spacing w:val="0"/>
          <w:sz w:val="32"/>
          <w:szCs w:val="32"/>
          <w:lang w:val="en-US" w:eastAsia="zh-CN"/>
        </w:rPr>
        <w:t xml:space="preserve">  全面推进健康吴忠建设</w:t>
      </w:r>
      <w:bookmarkEnd w:id="309"/>
      <w:bookmarkEnd w:id="310"/>
      <w:bookmarkEnd w:id="311"/>
      <w:bookmarkEnd w:id="312"/>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坚持把人民健康放在优先发展战略地位，全面贯彻新时代卫生健康工作方针，深入实施健康吴忠行动，加快提高卫生健康供给质量和服务水平，全方位、全周期维护和保障人民健康。</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13" w:name="_Toc16058"/>
      <w:bookmarkStart w:id="314" w:name="_Toc9981"/>
      <w:bookmarkStart w:id="315" w:name="_Toc19133"/>
      <w:bookmarkStart w:id="316" w:name="_Toc14841"/>
      <w:bookmarkStart w:id="317" w:name="_Toc28174"/>
      <w:bookmarkStart w:id="318" w:name="_Toc13704"/>
      <w:bookmarkStart w:id="319" w:name="_Toc9644"/>
      <w:r>
        <w:rPr>
          <w:rFonts w:hint="default" w:ascii="Times New Roman" w:hAnsi="Times New Roman" w:cs="Times New Roman"/>
          <w:color w:val="000000" w:themeColor="text1"/>
          <w:highlight w:val="none"/>
          <w:lang w:val="en-US" w:eastAsia="zh-CN"/>
          <w14:textFill>
            <w14:solidFill>
              <w14:schemeClr w14:val="tx1"/>
            </w14:solidFill>
          </w14:textFill>
        </w:rPr>
        <w:t>一、深化医药卫生体制改革</w:t>
      </w:r>
      <w:bookmarkEnd w:id="313"/>
      <w:bookmarkEnd w:id="314"/>
      <w:bookmarkEnd w:id="315"/>
      <w:bookmarkEnd w:id="316"/>
      <w:bookmarkEnd w:id="317"/>
      <w:bookmarkEnd w:id="318"/>
      <w:bookmarkEnd w:id="319"/>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落实分级诊疗、现代医院管理、全民基本医保、药品供应保障、综合监督管理五项综合医改制度，大力推进县域综合医改，持续提升医联体（医共体）建设成效，做实做细家庭医生签约服务。加强公立医院建设，推动医疗机构优化用药结构，积极推进卫生健康行业综合监管，规范医疗行为。推进疾病预防控制体系改革，健全以市、县级疾控中心为骨干，医疗机构为依托，基层医疗卫生机构为网底，防治结合的疾病预防控制体系，创新医防协同机制，建立适应现代化疾控体系的人才培养使用机制。深化多元复合式医保支付方式改革，全面实行基本医疗保险基金市级统收统支，扩大基本医疗保险跨省跨地区异地就医结算范围。</w:t>
      </w:r>
      <w:bookmarkStart w:id="320" w:name="_Toc13625"/>
      <w:bookmarkStart w:id="321" w:name="_Toc31881"/>
      <w:bookmarkStart w:id="322" w:name="_Toc20101"/>
      <w:bookmarkStart w:id="323" w:name="_Toc22894"/>
      <w:bookmarkStart w:id="324" w:name="_Toc17879"/>
      <w:bookmarkStart w:id="325" w:name="_Toc10250"/>
      <w:bookmarkStart w:id="326" w:name="_Toc6616"/>
    </w:p>
    <w:p>
      <w:pPr>
        <w:keepNext w:val="0"/>
        <w:keepLines w:val="0"/>
        <w:pageBreakBefore w:val="0"/>
        <w:widowControl w:val="0"/>
        <w:kinsoku/>
        <w:wordWrap/>
        <w:overflowPunct/>
        <w:topLinePunct w:val="0"/>
        <w:autoSpaceDE/>
        <w:autoSpaceDN/>
        <w:bidi w:val="0"/>
        <w:adjustRightInd/>
        <w:snapToGrid/>
        <w:spacing w:before="60" w:after="60" w:line="560" w:lineRule="exact"/>
        <w:textAlignment w:val="auto"/>
        <w:rPr>
          <w:rFonts w:hint="eastAsia" w:ascii="方正黑体_GBK" w:hAnsi="方正黑体_GBK" w:eastAsia="方正黑体_GBK" w:cs="方正黑体_GBK"/>
          <w:color w:val="000000" w:themeColor="text1"/>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highlight w:val="none"/>
          <w:lang w:val="en-US" w:eastAsia="zh-CN"/>
          <w14:textFill>
            <w14:solidFill>
              <w14:schemeClr w14:val="tx1"/>
            </w14:solidFill>
          </w14:textFill>
        </w:rPr>
        <w:t>二、提升医疗卫生服务</w:t>
      </w:r>
      <w:bookmarkEnd w:id="320"/>
      <w:bookmarkEnd w:id="321"/>
      <w:bookmarkEnd w:id="322"/>
      <w:bookmarkEnd w:id="323"/>
      <w:bookmarkEnd w:id="324"/>
      <w:bookmarkEnd w:id="325"/>
      <w:bookmarkEnd w:id="326"/>
      <w:r>
        <w:rPr>
          <w:rFonts w:hint="eastAsia" w:ascii="方正黑体_GBK" w:hAnsi="方正黑体_GBK" w:eastAsia="方正黑体_GBK" w:cs="方正黑体_GBK"/>
          <w:color w:val="000000" w:themeColor="text1"/>
          <w:highlight w:val="none"/>
          <w:lang w:val="en-US" w:eastAsia="zh-CN"/>
          <w14:textFill>
            <w14:solidFill>
              <w14:schemeClr w14:val="tx1"/>
            </w14:solidFill>
          </w14:textFill>
        </w:rPr>
        <w:t>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加快医疗卫生服务体系建设。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优化医疗资源布局，市人民医院创建三甲医院，建设区域医疗中心，县（市、区）二级综合医院积极创建三乙医院，建设市级临床重点专科。建立区域医疗联合体，规范医疗质量控制体系，完善城市二级及以上公立医疗卫生机构定期专业技术人员到基层服务的长效机制。保障和促进中医药事业发展，提高中医院应急和救治能力。推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互联网+医疗健康</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建设，深化市、县、乡远程会诊合作，提升盐同红连片区医疗卫生服务水平。借助京宁、闽宁等对口合作、</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千名医师下基层</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加强卫生专业技术人才培养。深入开展妇幼健康促进行动，为妇女儿童提供生命全周期服务，加大妇女疾病防治力度，积极防治出生缺陷，做好儿童健康管理。落实生育政策，发展多元化托育服务，提高优生优育服务水平，促进人口均衡发展。</w:t>
      </w:r>
    </w:p>
    <w:p>
      <w:pPr>
        <w:keepNext w:val="0"/>
        <w:keepLines w:val="0"/>
        <w:pageBreakBefore w:val="0"/>
        <w:widowControl/>
        <w:kinsoku/>
        <w:wordWrap/>
        <w:overflowPunct/>
        <w:topLinePunct w:val="0"/>
        <w:autoSpaceDE/>
        <w:autoSpaceDN/>
        <w:bidi w:val="0"/>
        <w:adjustRightInd/>
        <w:snapToGrid/>
        <w:spacing w:line="560" w:lineRule="exact"/>
        <w:ind w:left="0" w:right="0" w:firstLine="642" w:firstLineChars="200"/>
        <w:jc w:val="both"/>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提升突发重大公共卫生事件应急处置能力。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设吴忠市传染病救治基地，健全医疗救治、科技支撑、物资保障机制，完善传染病疫情与突发公共卫生事件监测系统，改进不明原因疾病和异常健康事件监测机制，建立智慧化预警多点触发、多渠道监测预警机制。加强实验室监测网络建设，建立公共卫生机构和医疗机构协同监测机制，发挥基层哨点作用。加强突发公共卫生事件应对预案体系和重大疫情救治体系建设，分级分类组建卫生应急队伍，提高应对突发公共卫生事件能力。</w:t>
      </w:r>
    </w:p>
    <w:p>
      <w:pPr>
        <w:pStyle w:val="4"/>
        <w:keepNext w:val="0"/>
        <w:keepLines w:val="0"/>
        <w:pageBreakBefore w:val="0"/>
        <w:widowControl/>
        <w:kinsoku/>
        <w:wordWrap/>
        <w:overflowPunct/>
        <w:topLinePunct w:val="0"/>
        <w:autoSpaceDE/>
        <w:autoSpaceDN/>
        <w:bidi w:val="0"/>
        <w:adjustRightInd/>
        <w:snapToGrid/>
        <w:spacing w:before="60" w:after="60" w:line="560" w:lineRule="exact"/>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27" w:name="_Toc28978"/>
      <w:bookmarkStart w:id="328" w:name="_Toc16761"/>
      <w:bookmarkStart w:id="329" w:name="_Toc32369"/>
      <w:bookmarkStart w:id="330" w:name="_Toc5471"/>
      <w:bookmarkStart w:id="331" w:name="_Toc24844"/>
      <w:r>
        <w:rPr>
          <w:rFonts w:hint="default" w:ascii="Times New Roman" w:hAnsi="Times New Roman" w:cs="Times New Roman"/>
          <w:color w:val="000000" w:themeColor="text1"/>
          <w:highlight w:val="none"/>
          <w:lang w:val="en-US" w:eastAsia="zh-CN"/>
          <w14:textFill>
            <w14:solidFill>
              <w14:schemeClr w14:val="tx1"/>
            </w14:solidFill>
          </w14:textFill>
        </w:rPr>
        <w:t>三、深入实施健康</w:t>
      </w:r>
      <w:bookmarkEnd w:id="327"/>
      <w:r>
        <w:rPr>
          <w:rFonts w:hint="default" w:ascii="Times New Roman" w:hAnsi="Times New Roman" w:cs="Times New Roman"/>
          <w:color w:val="000000" w:themeColor="text1"/>
          <w:highlight w:val="none"/>
          <w:lang w:val="en-US" w:eastAsia="zh-CN"/>
          <w14:textFill>
            <w14:solidFill>
              <w14:schemeClr w14:val="tx1"/>
            </w14:solidFill>
          </w14:textFill>
        </w:rPr>
        <w:t>吴忠行动</w:t>
      </w:r>
      <w:bookmarkEnd w:id="328"/>
      <w:bookmarkEnd w:id="329"/>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推进健康吴忠建设，实施健康吴忠行动十六项专项行动。针对影响健康的行为与生活方式、环境等因素，实施健康知识普及、合理膳食、中医养生保健、全民健身、控烟、心理、环境等7项健康促进行动；针对重点人群特点，实施妇幼、中小学生、职业、老年等4项健康促进行动；针对心血管疾病、癌症、慢性呼吸系统疾病、糖尿病四类重大慢性病以及传染病和地方病的预防控制，实施5项防治（防控）行动。到2025年，全民健康素养水平稳步提高，健康生活方式加快推广，重大慢性病发病上升趋势得到有效遏制，重点传染病、严重精神障碍、地方病、职业病得到有效防控，致残和死亡风险逐步降低，重点人群健康状况显著改善。大力开展爱国卫生运动，巩固国家卫生城市创建成果</w:t>
      </w:r>
      <w:bookmarkEnd w:id="330"/>
      <w:bookmarkEnd w:id="331"/>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caps w:val="0"/>
          <w:color w:val="000000" w:themeColor="text1"/>
          <w:spacing w:val="0"/>
          <w:sz w:val="32"/>
          <w:szCs w:val="22"/>
          <w:highlight w:val="none"/>
          <w:lang w:val="en-US" w:eastAsia="zh-CN"/>
          <w14:textFill>
            <w14:solidFill>
              <w14:schemeClr w14:val="tx1"/>
            </w14:solidFill>
          </w14:textFill>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15" w:type="dxa"/>
            <w:vAlign w:val="center"/>
          </w:tcPr>
          <w:p>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szCs w:val="24"/>
                <w:highlight w:val="none"/>
                <w:lang w:val="en-US" w:bidi="ar-SA"/>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14</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公共卫生服务能力提升工程项目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9015" w:type="dxa"/>
            <w:vAlign w:val="center"/>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1.市区各医疗单位：</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吴忠市妇幼保健院妇幼健康信息化能力提升项目；吴忠市应急医疗救治中心建设项目；吴忠市疾病预防控制中心能力提升项目；吴忠市人民医院学科能力提升项目；吴忠市血站采供血服务能力提升项目。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2.利通区：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利通区健康产业聚集区建设项目；爱尔眼科专科医院建设项目；吴忠市利通区疾病预防控制中心综合楼建设项目；吴忠市利通区胜利镇社区医院建设项目；吴忠市利通区金积镇中心卫生院提升医养结合服务能力建设项目；吴忠卫尔康精神病医院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3.红寺堡区：</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红寺堡区中医医院建设项目；红寺堡区人民医院传染病防治能力提</w:t>
            </w:r>
            <w:r>
              <w:rPr>
                <w:rFonts w:hint="default" w:ascii="Times New Roman" w:hAnsi="Times New Roman" w:cs="Times New Roman"/>
                <w:b w:val="0"/>
                <w:bCs w:val="0"/>
                <w:color w:val="000000" w:themeColor="text1"/>
                <w:sz w:val="26"/>
                <w:szCs w:val="26"/>
                <w:highlight w:val="none"/>
                <w:lang w:val="en-US" w:eastAsia="zh-CN"/>
                <w14:textFill>
                  <w14:solidFill>
                    <w14:schemeClr w14:val="tx1"/>
                  </w14:solidFill>
                </w14:textFill>
              </w:rPr>
              <w:t>升项目；红寺堡区妇幼保健计划生育服务中心住院部综合楼建设项目；红寺堡区康养中心综合楼建设项目；红寺堡区乡镇卫生院公共卫生防治及医疗服务能力提升项目。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4.青铜峡市：</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青铜峡市人民医院救治能力提升建设项目；青铜峡市人民医院传染病综合楼建设项目；青铜峡市</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互联网+医疗健康</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项目；青铜峡市疾病预防控制中心业务综合楼建设项目；青铜峡市人民医院危重孕产妇、新生儿急救中心建设项目。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5.盐池县：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盐池县永宏乐丰康复生态养生园医养结合项目；盐池县人民医院危重症救治中心项目；盐池县医疗机构公共卫生防治能力建设项目；盐池县社区卫生服务中心建设项目；盐池县中医医院县域内治未病中心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6.同心县：</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同心县生态移民区医院建设项目；宁夏吴忠市同心县中医医院门诊医技综合楼及制剂楼项目；同心县人民医院感染性疾病中心建设项目；乡镇卫生院住院部建设项目。</w:t>
            </w:r>
          </w:p>
        </w:tc>
      </w:tr>
    </w:tbl>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32" w:name="_Toc11560"/>
      <w:bookmarkStart w:id="333" w:name="_Toc23973"/>
      <w:bookmarkStart w:id="334" w:name="_Toc20882"/>
      <w:bookmarkStart w:id="335" w:name="_Toc30837"/>
      <w:r>
        <w:rPr>
          <w:rFonts w:hint="default" w:ascii="Times New Roman" w:hAnsi="Times New Roman" w:eastAsia="方正黑体简体" w:cs="Times New Roman"/>
          <w:color w:val="000000"/>
          <w:spacing w:val="0"/>
          <w:sz w:val="32"/>
          <w:szCs w:val="32"/>
        </w:rPr>
        <w:t>第</w:t>
      </w:r>
      <w:r>
        <w:rPr>
          <w:rFonts w:hint="default" w:ascii="Times New Roman" w:hAnsi="Times New Roman" w:eastAsia="方正黑体简体" w:cs="Times New Roman"/>
          <w:color w:val="000000"/>
          <w:spacing w:val="0"/>
          <w:sz w:val="32"/>
          <w:szCs w:val="32"/>
          <w:lang w:val="en-US" w:eastAsia="zh-CN"/>
        </w:rPr>
        <w:t>四节</w:t>
      </w:r>
      <w:r>
        <w:rPr>
          <w:rFonts w:hint="default" w:ascii="Times New Roman" w:hAnsi="Times New Roman" w:eastAsia="方正黑体简体" w:cs="Times New Roman"/>
          <w:color w:val="000000"/>
          <w:spacing w:val="0"/>
          <w:sz w:val="32"/>
          <w:szCs w:val="32"/>
        </w:rPr>
        <w:t xml:space="preserve"> </w:t>
      </w:r>
      <w:r>
        <w:rPr>
          <w:rFonts w:hint="default" w:ascii="Times New Roman" w:hAnsi="Times New Roman" w:eastAsia="方正黑体简体" w:cs="Times New Roman"/>
          <w:color w:val="000000"/>
          <w:spacing w:val="0"/>
          <w:sz w:val="32"/>
          <w:szCs w:val="32"/>
          <w:lang w:val="en-US" w:eastAsia="zh-CN"/>
        </w:rPr>
        <w:t xml:space="preserve"> 健全多层次社会保障体系</w:t>
      </w:r>
      <w:bookmarkEnd w:id="332"/>
      <w:bookmarkEnd w:id="333"/>
      <w:bookmarkEnd w:id="334"/>
      <w:bookmarkEnd w:id="335"/>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坚持应保尽保原则，按照兜底线、织密网、建机制基本要求，全面建成覆盖全民、城乡统筹、公平统一、可持续的多层次社会保障体系。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36" w:name="_Toc23685"/>
      <w:bookmarkStart w:id="337" w:name="_Toc24603"/>
      <w:bookmarkStart w:id="338" w:name="_Toc13600"/>
      <w:bookmarkStart w:id="339" w:name="_Toc15261"/>
      <w:bookmarkStart w:id="340" w:name="_Toc3199"/>
      <w:r>
        <w:rPr>
          <w:rFonts w:hint="default" w:ascii="Times New Roman" w:hAnsi="Times New Roman" w:cs="Times New Roman"/>
          <w:color w:val="000000" w:themeColor="text1"/>
          <w:highlight w:val="none"/>
          <w:lang w:val="en-US" w:eastAsia="zh-CN"/>
          <w14:textFill>
            <w14:solidFill>
              <w14:schemeClr w14:val="tx1"/>
            </w14:solidFill>
          </w14:textFill>
        </w:rPr>
        <w:t>一、</w:t>
      </w:r>
      <w:bookmarkEnd w:id="336"/>
      <w:bookmarkEnd w:id="337"/>
      <w:bookmarkEnd w:id="338"/>
      <w:bookmarkEnd w:id="339"/>
      <w:r>
        <w:rPr>
          <w:rFonts w:hint="default" w:ascii="Times New Roman" w:hAnsi="Times New Roman" w:cs="Times New Roman"/>
          <w:color w:val="000000" w:themeColor="text1"/>
          <w:highlight w:val="none"/>
          <w:lang w:val="en-US" w:eastAsia="zh-CN"/>
          <w14:textFill>
            <w14:solidFill>
              <w14:schemeClr w14:val="tx1"/>
            </w14:solidFill>
          </w14:textFill>
        </w:rPr>
        <w:t>完善社会保险体系</w:t>
      </w:r>
      <w:bookmarkEnd w:id="340"/>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实施全民参保计划，充分挖掘扩面资源，加大征缴参保宣传力度，重点覆盖中小微企业和广大农民工、灵活就业人员、新业态人员等群体。缓解困难人群重特大疾病风险，完善失业、工伤保险制度，维护失业人员和工伤人员基本权益。积极构建基本养老保险、职业（企业）年金与个人储蓄性养老保险、商业保险相衔接的养老保险体系。协同推进基本医疗保险、大病保险、补充医疗保险、商业健康保险发展，稳步建立长期护理保险制度。提升社保卡管理和综合应用水平，完善社保基金监管机制，确保基金安全可持续运行。完善社会保险关系顺畅接续政策，简化转续流程，推行网上认证办理，加快与其他省（市、区）社会保险转移接续，方便参保职工、失业和退休人员流动就业、异地生活。</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41" w:name="_Toc18049"/>
      <w:bookmarkStart w:id="342" w:name="_Toc32642"/>
      <w:bookmarkStart w:id="343" w:name="_Toc17215"/>
      <w:bookmarkStart w:id="344" w:name="_Toc2486"/>
      <w:bookmarkStart w:id="345" w:name="_Toc26791"/>
      <w:bookmarkStart w:id="346" w:name="_Toc2204"/>
      <w:r>
        <w:rPr>
          <w:rFonts w:hint="default" w:ascii="Times New Roman" w:hAnsi="Times New Roman" w:cs="Times New Roman"/>
          <w:color w:val="000000" w:themeColor="text1"/>
          <w:highlight w:val="none"/>
          <w:lang w:val="en-US" w:eastAsia="zh-CN"/>
          <w14:textFill>
            <w14:solidFill>
              <w14:schemeClr w14:val="tx1"/>
            </w14:solidFill>
          </w14:textFill>
        </w:rPr>
        <w:t>二、健全社会救助福利体系</w:t>
      </w:r>
      <w:bookmarkEnd w:id="341"/>
      <w:bookmarkEnd w:id="342"/>
      <w:bookmarkEnd w:id="343"/>
      <w:bookmarkEnd w:id="344"/>
      <w:bookmarkEnd w:id="345"/>
      <w:bookmarkEnd w:id="346"/>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巩固提升兜底保障成果，完善分层分类、城乡统筹社会救助体系。健全城乡最低生活保障制度，稳步提升城乡最低生活保障标准，确保动态管理下应保尽保。实施特困人员供养服务设施和服务质量提升工程，保障特困人员救助供养。健全市县乡村衔接互通的社会救助网络，落实重点救助对象参保缴费资助政策、重点救助对象医疗费用救助机制，实现医疗救助</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一站式</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即时结算。强化急难救助功能，对遭遇突发性、紧迫性、灾难性困难家庭和人员，给予应急性、过渡性生活保障。加强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妇女、困境儿童、精神卫生福利服务体系建设。完善残疾人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两项补贴</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制度，强化残疾人兜底保障，做好流浪乞讨人员救助管理。推动联合型、行业性慈善组织建设，培育发展慈善组织、慈善捐赠、慈善信托等慈善事业。</w:t>
      </w:r>
    </w:p>
    <w:p>
      <w:pPr>
        <w:pStyle w:val="4"/>
        <w:keepNext/>
        <w:keepLines/>
        <w:pageBreakBefore w:val="0"/>
        <w:widowControl w:val="0"/>
        <w:kinsoku/>
        <w:wordWrap/>
        <w:overflowPunct/>
        <w:topLinePunct w:val="0"/>
        <w:autoSpaceDE/>
        <w:autoSpaceDN/>
        <w:bidi w:val="0"/>
        <w:adjustRightInd/>
        <w:snapToGrid/>
        <w:spacing w:before="60" w:after="60"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47" w:name="_Toc12425"/>
      <w:bookmarkStart w:id="348" w:name="_Toc14579"/>
      <w:r>
        <w:rPr>
          <w:rFonts w:hint="default" w:ascii="Times New Roman" w:hAnsi="Times New Roman" w:cs="Times New Roman"/>
          <w:color w:val="000000" w:themeColor="text1"/>
          <w:highlight w:val="none"/>
          <w:lang w:val="en-US" w:eastAsia="zh-CN"/>
          <w14:textFill>
            <w14:solidFill>
              <w14:schemeClr w14:val="tx1"/>
            </w14:solidFill>
          </w14:textFill>
        </w:rPr>
        <w:t>三、</w:t>
      </w:r>
      <w:bookmarkEnd w:id="347"/>
      <w:r>
        <w:rPr>
          <w:rFonts w:hint="default" w:ascii="Times New Roman" w:hAnsi="Times New Roman" w:cs="Times New Roman"/>
          <w:color w:val="000000" w:themeColor="text1"/>
          <w:highlight w:val="none"/>
          <w:lang w:val="en-US" w:eastAsia="zh-CN"/>
          <w14:textFill>
            <w14:solidFill>
              <w14:schemeClr w14:val="tx1"/>
            </w14:solidFill>
          </w14:textFill>
        </w:rPr>
        <w:t>构建社会关爱服务体系</w:t>
      </w:r>
      <w:bookmarkEnd w:id="348"/>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发挥退役军人模范作用。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依法保障退役军人合法权益，建设退役军人服务体系，创建全国示范型退役军人服务中心（站）。加快全市退役军人信息化建设，实施退役军人进村（社区）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后备人才培养工程，促进退役军人就业创业。加强烈士纪念设施修缮维护，实施烈士陵园提质改造工程。创新双拥工作方式，持续深入推进双拥模范城建设。</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促进青年优先发展。</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搭建青年成长和建功立业平台，营造有利于青年发展的良好环境，激发青年创新创业活力。引导青年社会组织健康有序发展，培育青少年事务社工专业人才队伍。发展青年志愿者队伍，加强信息化建设，促进社区志愿服务纵深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保护老人、妇女儿童合法权益。</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养老服务体系，加强社区养老、农村养老、特困人员供养等服务设施建设，实施城企联动普惠养老专项行动，为老年人提供便捷可及的养老服务，到2025年，养老机构护理型床位占比提高到30%。切实保障妇女儿童合法权益，保障妇女平等获得就业、就学、婚姻、财产、文化生活、参与社会事务等权利和机会，强化对未成年生存权、发展权、受保护权的依法保障，推动落实妇女、儿童发展专项规划。</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lang w:val="en-US" w:eastAsia="zh-CN"/>
        </w:rPr>
      </w:pPr>
    </w:p>
    <w:tbl>
      <w:tblPr>
        <w:tblStyle w:val="27"/>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专栏</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15</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社会保障重点工程项目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5" w:type="dxa"/>
            <w:vAlign w:val="top"/>
          </w:tcPr>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1.社会保障管理平台建设项目：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吴忠市精神卫生康复中心建设项目；利通区疾病预防救治服务能力提升项目。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2.社会服务体系提质项目：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镇村服务站建设项目；农村电子商务服务站建设项目；农村光热资源综合利用项目；金积镇</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金康苑</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智慧社区建设项目；盐池县公共法律服务中心建设项目；盐池县城区智能快件箱建设项目。</w:t>
            </w:r>
          </w:p>
          <w:p>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3.</w:t>
            </w:r>
            <w:r>
              <w:rPr>
                <w:rFonts w:hint="eastAsia" w:ascii="Times New Roman" w:hAnsi="Times New Roman" w:cs="Times New Roman"/>
                <w:b/>
                <w:bCs/>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一老一小</w:t>
            </w:r>
            <w:r>
              <w:rPr>
                <w:rFonts w:hint="eastAsia" w:ascii="Times New Roman" w:hAnsi="Times New Roman" w:cs="Times New Roman"/>
                <w:b/>
                <w:bCs/>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服务体系建设项目：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利通区健康产业聚集区建设项目；社区</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儿童之家</w:t>
            </w:r>
            <w:r>
              <w:rPr>
                <w:rFonts w:hint="eastAsia" w:ascii="Times New Roman" w:hAnsi="Times New Roman" w:cs="Times New Roman"/>
                <w:color w:val="000000" w:themeColor="text1"/>
                <w:sz w:val="26"/>
                <w:szCs w:val="26"/>
                <w:highlight w:val="none"/>
                <w:lang w:val="en-US" w:eastAsia="zh-CN"/>
                <w14:textFill>
                  <w14:solidFill>
                    <w14:schemeClr w14:val="tx1"/>
                  </w14:solidFill>
                </w14:textFill>
              </w:rPr>
              <w:t>”</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建设项目；利通区居家养老及慢病智慧管理服务中心项目；红寺堡区康养中心综合楼建设项目；盐池县妇幼保健和计划生育服务中心托育项目；盐池县永宏乐丰康复生态养生园医养结合项目。</w:t>
            </w:r>
          </w:p>
        </w:tc>
      </w:tr>
    </w:tbl>
    <w:p>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highlight w:val="none"/>
          <w:lang w:val="en-US"/>
          <w14:textFill>
            <w14:solidFill>
              <w14:schemeClr w14:val="tx1"/>
            </w14:solidFill>
          </w14:textFill>
        </w:rPr>
      </w:pPr>
      <w:bookmarkStart w:id="349" w:name="_Toc21167"/>
      <w:bookmarkStart w:id="350" w:name="_Toc29370"/>
      <w:bookmarkStart w:id="351" w:name="_Toc32088"/>
      <w:bookmarkStart w:id="352" w:name="_Toc24997"/>
      <w:r>
        <w:rPr>
          <w:rFonts w:hint="default" w:ascii="Times New Roman" w:hAnsi="Times New Roman" w:eastAsia="方正黑体简体" w:cs="Times New Roman"/>
          <w:color w:val="000000"/>
          <w:spacing w:val="0"/>
          <w:sz w:val="32"/>
          <w:szCs w:val="32"/>
          <w:lang w:val="en-US" w:eastAsia="zh-CN"/>
        </w:rPr>
        <w:t>第五节</w:t>
      </w:r>
      <w:bookmarkEnd w:id="349"/>
      <w:bookmarkEnd w:id="350"/>
      <w:bookmarkEnd w:id="351"/>
      <w:r>
        <w:rPr>
          <w:rFonts w:hint="default" w:ascii="Times New Roman" w:hAnsi="Times New Roman" w:eastAsia="方正黑体简体" w:cs="Times New Roman"/>
          <w:color w:val="000000"/>
          <w:spacing w:val="0"/>
          <w:sz w:val="32"/>
          <w:szCs w:val="32"/>
          <w:lang w:val="en-US" w:eastAsia="zh-CN"/>
        </w:rPr>
        <w:t xml:space="preserve">  持续推进民族团结进步</w:t>
      </w:r>
      <w:bookmarkEnd w:id="35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53" w:name="_Toc22102"/>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以铸牢</w:t>
      </w:r>
      <w:r>
        <w:rPr>
          <w:rFonts w:hint="default" w:ascii="Times New Roman" w:hAnsi="Times New Roman" w:eastAsia="方正仿宋_GBK" w:cs="Times New Roman"/>
          <w:color w:val="000000" w:themeColor="text1"/>
          <w:highlight w:val="none"/>
          <w14:textFill>
            <w14:solidFill>
              <w14:schemeClr w14:val="tx1"/>
            </w14:solidFill>
          </w14:textFill>
        </w:rPr>
        <w:t>中华民族共同体意识</w:t>
      </w:r>
      <w:bookmarkEnd w:id="353"/>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为根本方向，以促进各民族交往交流交融为根本途径，提升民族团结进步创建工作质效，推动民族事务治理现代化。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铸牢中华民族共同体意识。</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中国特色解决民族问题的正确道路，全面贯彻党的民族政策，教育各族干部群众牢固树立正确的祖国观、民族观、文化观、历史观、宗教观，深入开展革命历史教育、中国特色社会主义和中国梦等宣传教育，引导各族群众不断增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五个认同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。巩固和发展平等团结互望相助的优良传统，引导各族群众自觉融入共居共学共事共乐的社会环境，形成密不可分的共同体。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促进各民族交往交流交融。</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打造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中华民族一家亲</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系列实践教育活动平台，开展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结对子</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手拉手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等多层次多领域多样化的民族联谊活动，组织开展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三下乡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滨河大舞台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等文艺演出活动，传承优秀区域文化风俗，凝聚社会价值共识，构筑各民族共有精神家园。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深入开展民族团结进步创建活动。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找准创建活动与社会心理契合点、与民族情感共鸣点、与群众利益结合点，深入推进民族团结进步模范市建设。坚持抓基层、强基础，把单体创建工作重心下沉到社区、乡村、学校、企业等基层单位，搭建更多群众便于、乐于参与的平台。持续开展民族团结进步教育进机关、企业、社区等</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十进</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活动，拓展创新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模式，深入实施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细胞工程</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，使创建活动更好的服务群众。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依法治理民族事务。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面贯彻落实民族区域自治法，推进民族事务治理体系和治理能力现代化，加强民族法治宣传教育，引导干部群众自觉尊法学法守法用法依法，运用法治方式，保障各民族合法权益、依法治理民族事务，让法治为民族团结保驾护航。</w:t>
      </w:r>
    </w:p>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3"/>
        <w:bidi w:val="0"/>
        <w:rPr>
          <w:rFonts w:hint="default" w:ascii="Times New Roman" w:hAnsi="Times New Roman" w:cs="Times New Roman"/>
          <w:color w:val="000000" w:themeColor="text1"/>
          <w:highlight w:val="none"/>
          <w:lang w:val="en-US" w:eastAsia="zh-CN"/>
          <w14:textFill>
            <w14:solidFill>
              <w14:schemeClr w14:val="tx1"/>
            </w14:solidFill>
          </w14:textFill>
        </w:rPr>
      </w:pPr>
      <w:bookmarkStart w:id="354" w:name="_Toc10276"/>
      <w:r>
        <w:rPr>
          <w:rFonts w:hint="default" w:ascii="Times New Roman" w:hAnsi="Times New Roman" w:cs="Times New Roman"/>
          <w:color w:val="000000" w:themeColor="text1"/>
          <w:highlight w:val="none"/>
          <w:lang w:val="en-US" w:eastAsia="zh-CN"/>
          <w14:textFill>
            <w14:solidFill>
              <w14:schemeClr w14:val="tx1"/>
            </w14:solidFill>
          </w14:textFill>
        </w:rPr>
        <w:br w:type="page"/>
      </w:r>
      <w:bookmarkStart w:id="355" w:name="_Toc812"/>
      <w:r>
        <w:rPr>
          <w:rFonts w:hint="default" w:ascii="Times New Roman" w:hAnsi="Times New Roman" w:eastAsia="黑体" w:cs="Times New Roman"/>
          <w:bCs/>
          <w:color w:val="000000"/>
          <w:spacing w:val="0"/>
          <w:kern w:val="2"/>
          <w:sz w:val="32"/>
          <w:szCs w:val="32"/>
          <w:lang w:val="en-US" w:eastAsia="zh-CN" w:bidi="ar-SA"/>
        </w:rPr>
        <w:t>第十一章  筑牢发展安全底线  建设更高水平的平安吴忠</w:t>
      </w:r>
      <w:bookmarkEnd w:id="354"/>
      <w:bookmarkEnd w:id="35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w:t>
      </w:r>
      <w:r>
        <w:rPr>
          <w:rFonts w:hint="default" w:ascii="Times New Roman" w:hAnsi="Times New Roman" w:eastAsia="方正仿宋_GBK" w:cs="Times New Roman"/>
          <w:color w:val="000000" w:themeColor="text1"/>
          <w:highlight w:val="none"/>
          <w14:textFill>
            <w14:solidFill>
              <w14:schemeClr w14:val="tx1"/>
            </w14:solidFill>
          </w14:textFill>
        </w:rPr>
        <w:t>总体国家安全观，</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落实国家安全战略，</w:t>
      </w:r>
      <w:r>
        <w:rPr>
          <w:rFonts w:hint="default" w:ascii="Times New Roman" w:hAnsi="Times New Roman" w:eastAsia="方正仿宋_GBK" w:cs="Times New Roman"/>
          <w:color w:val="000000" w:themeColor="text1"/>
          <w:highlight w:val="none"/>
          <w14:textFill>
            <w14:solidFill>
              <w14:schemeClr w14:val="tx1"/>
            </w14:solidFill>
          </w14:textFill>
        </w:rPr>
        <w:t>把安全发展贯穿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经济社会</w:t>
      </w:r>
      <w:r>
        <w:rPr>
          <w:rFonts w:hint="default" w:ascii="Times New Roman" w:hAnsi="Times New Roman" w:eastAsia="方正仿宋_GBK" w:cs="Times New Roman"/>
          <w:color w:val="000000" w:themeColor="text1"/>
          <w:highlight w:val="none"/>
          <w14:textFill>
            <w14:solidFill>
              <w14:schemeClr w14:val="tx1"/>
            </w14:solidFill>
          </w14:textFill>
        </w:rPr>
        <w:t>发展各领域和全过程</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，有效防范和化解各类风险，加快推进社会治理体系现代化，构建共建共治共享的社会治理格局。</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56" w:name="_Toc15285"/>
      <w:r>
        <w:rPr>
          <w:rFonts w:hint="default" w:ascii="Times New Roman" w:hAnsi="Times New Roman" w:eastAsia="方正黑体简体" w:cs="Times New Roman"/>
          <w:color w:val="000000"/>
          <w:spacing w:val="0"/>
          <w:sz w:val="32"/>
          <w:szCs w:val="32"/>
          <w:lang w:val="en-US" w:eastAsia="zh-CN"/>
        </w:rPr>
        <w:t>第一节  坚定不移维护国家安全</w:t>
      </w:r>
      <w:bookmarkEnd w:id="356"/>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严格落实国家安全责任制，加强安全体系和能力建设，强化国家安全宣传教育，巩固国家安全人民防线。</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坚决维护政治安全。</w:t>
      </w:r>
      <w:r>
        <w:rPr>
          <w:rFonts w:hint="default" w:ascii="Times New Roman" w:hAnsi="Times New Roman" w:eastAsia="方正仿宋_GBK" w:cs="Times New Roman"/>
          <w:color w:val="000000" w:themeColor="text1"/>
          <w:highlight w:val="none"/>
          <w14:textFill>
            <w14:solidFill>
              <w14:schemeClr w14:val="tx1"/>
            </w14:solidFill>
          </w14:textFill>
        </w:rPr>
        <w:t>把维护国家政治安全特别是政权安全、制度安全放在第一位，严密防范和严厉打击敌对势力渗透、破坏、颠覆、分裂活动</w:t>
      </w:r>
      <w:r>
        <w:rPr>
          <w:rFonts w:hint="default" w:ascii="Times New Roman" w:hAnsi="Times New Roman" w:eastAsia="方正仿宋_GBK" w:cs="Times New Roman"/>
          <w:color w:val="000000" w:themeColor="text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守好维护政治安全生命线</w:t>
      </w:r>
      <w:r>
        <w:rPr>
          <w:rFonts w:hint="default" w:ascii="Times New Roman" w:hAnsi="Times New Roman" w:eastAsia="方正仿宋_GBK" w:cs="Times New Roman"/>
          <w:color w:val="000000" w:themeColor="text1"/>
          <w:highlight w:val="none"/>
          <w14:textFill>
            <w14:solidFill>
              <w14:schemeClr w14:val="tx1"/>
            </w14:solidFill>
          </w14:textFill>
        </w:rPr>
        <w:t>。加强国家安全宣传教育，增强全民国家安全意识，巩固国家安全人民防线。大力支持国防和军队现代化建设，认真落实国防动员体制改革任务，扎实推进军民融合深度发展，完善国防动员机构，畅通运行机制，提升国防动员能力；加强后备力量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建强</w:t>
      </w:r>
      <w:r>
        <w:rPr>
          <w:rFonts w:hint="default" w:ascii="Times New Roman" w:hAnsi="Times New Roman" w:eastAsia="方正仿宋_GBK" w:cs="Times New Roman"/>
          <w:color w:val="000000" w:themeColor="text1"/>
          <w:highlight w:val="none"/>
          <w14:textFill>
            <w14:solidFill>
              <w14:schemeClr w14:val="tx1"/>
            </w14:solidFill>
          </w14:textFill>
        </w:rPr>
        <w:t>力量体系，加大训练场地建设、民兵军事训练、物资器材等经费保障力度，提升建设质效；强化国防教育，提高全民国防素养；加大拥军优抚力度，</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持续</w:t>
      </w:r>
      <w:r>
        <w:rPr>
          <w:rFonts w:hint="default" w:ascii="Times New Roman" w:hAnsi="Times New Roman" w:eastAsia="方正仿宋_GBK" w:cs="Times New Roman"/>
          <w:color w:val="000000" w:themeColor="text1"/>
          <w:highlight w:val="none"/>
          <w14:textFill>
            <w14:solidFill>
              <w14:schemeClr w14:val="tx1"/>
            </w14:solidFill>
          </w14:textFill>
        </w:rPr>
        <w:t>巩固军政军民团结</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良好局面</w:t>
      </w:r>
      <w:r>
        <w:rPr>
          <w:rFonts w:hint="default" w:ascii="Times New Roman" w:hAnsi="Times New Roman" w:eastAsia="方正仿宋_GBK" w:cs="Times New Roman"/>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加强意识形态安全。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严格落实意识形态工作责任制，强化阵地建设和管理，健全重大舆情和突发事件舆论引导机制，完善意识形态领域重大风险防范化解机制，依法打击制造传播政治谣言违法犯罪活动。加强网络安全保障体系和能力建设，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源头净网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行动，旗帜鲜明反对和抵制错误思潮，完善网络综合治理体系，</w:t>
      </w:r>
      <w:r>
        <w:rPr>
          <w:rFonts w:hint="default" w:ascii="Times New Roman" w:hAnsi="Times New Roman" w:eastAsia="方正仿宋_GBK" w:cs="Times New Roman"/>
          <w:color w:val="000000" w:themeColor="text1"/>
          <w:highlight w:val="none"/>
          <w14:textFill>
            <w14:solidFill>
              <w14:schemeClr w14:val="tx1"/>
            </w14:solidFill>
          </w14:textFill>
        </w:rPr>
        <w:t>统筹推进网络舆论引导、网络生态治理和网络文化建设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严防宗教领域政治风险。</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坚持我国宗教中国化方向，提高宗教工作法治化水平，坚决遏制宗教极端化倾向，完善基层宗教治理体系，提高基层宗教治理能力，巩固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三化</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等宗教领域突出问题整治成果，防范和抵御宗教极端思想渗透。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全面加强经济安全。</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加强经济安全风险预警、防控机制和能力建设，织密织牢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天罗地网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风险监测网，强化市县协同、政银企联动，坚决守住不发生区域性经济金融风险的底线。加强产业链供应链安全保障，常态化开展断链断供风险排查。加强大宗物资战略储备，保障能源和战略性矿产资源安全。构建统一高效的粮食和重要农产品供应保障体系，确保粮食安全。加强城市安全保障，维护重要基础设施安全，维护新兴领域安全。</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57" w:name="_Toc10992"/>
      <w:r>
        <w:rPr>
          <w:rFonts w:hint="default" w:ascii="Times New Roman" w:hAnsi="Times New Roman" w:eastAsia="方正黑体简体" w:cs="Times New Roman"/>
          <w:color w:val="000000"/>
          <w:spacing w:val="0"/>
          <w:sz w:val="32"/>
          <w:szCs w:val="32"/>
          <w:lang w:val="en-US" w:eastAsia="zh-CN"/>
        </w:rPr>
        <w:t>第二节  创新加强基层社会治理</w:t>
      </w:r>
      <w:bookmarkEnd w:id="35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58" w:name="_Toc16061"/>
      <w:bookmarkStart w:id="359" w:name="_Toc15063"/>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实施市域治理体系现代化十项工程，争创市域社会治理示范市，完善市域社会治理体制，推动治理中心下移，建立人人有责、人人尽责、人人享有的社会治理共同体。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完善基层治理体系</w:t>
      </w:r>
      <w:bookmarkEnd w:id="358"/>
      <w:bookmarkEnd w:id="359"/>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加强社会治理制度建设，提高基层治理能力、落实</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1+6</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政策体系，完善党委领导、政府主导、社会协同、公众参与、法治保障的社会治理体制，提高社会治理社会化、法治化、智能化、专业化水平，实现政府治理和社会调节、居民自治良性互动。构建多元矛盾纠纷预防化解机制，推动社会治理重心下移，探索建立党组织领导的自治、法治、德治相结合的城乡基层治理体系和统一高效的网格化管理机制，逐步完善城乡基层治理的组织体系。构建清晰的责任体系，明确乡镇（街道）职能定位，推进乡镇赋权扩能、社区减负增效，依法厘清社区与街道、社区与社会组织和物业服务企业等权责边界，引导企业、社团依法履行社会治理责任。构建有力的保障体系，加强政策统筹、资源统筹、力量统筹，理顺区、市、县基层治理事权关系，建立基层治理经费多元投入机制，推动项目资金、服务供给、执法力量向基层倾斜。</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60" w:name="_Toc12444"/>
      <w:bookmarkStart w:id="361" w:name="_Toc592"/>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提升基层治理能力</w:t>
      </w:r>
      <w:bookmarkEnd w:id="360"/>
      <w:bookmarkEnd w:id="361"/>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坚持和发展新时代</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枫桥经验</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，健全完善社会矛盾综合治理机制。优化社区规模设置，稳步推进城市</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镇改街道</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村改居</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工作，健全社区党组织领导下的议事协调机制，搭建便民利民综合服务平台。持续推进警务体制机制改革，巩固实施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警保联控工作机制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。加强交通综合治理能力建设，提高交通运输服务质量。充分发挥信息化作用，推广</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互联网+社会治理</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，完善公众参与机制，引导社会力量参与基层治理，满足群众多层次多样化需求。</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62" w:name="_Toc559"/>
      <w:r>
        <w:rPr>
          <w:rFonts w:hint="default" w:ascii="Times New Roman" w:hAnsi="Times New Roman" w:eastAsia="方正黑体简体" w:cs="Times New Roman"/>
          <w:color w:val="000000"/>
          <w:spacing w:val="0"/>
          <w:sz w:val="32"/>
          <w:szCs w:val="32"/>
          <w:lang w:val="en-US" w:eastAsia="zh-CN"/>
        </w:rPr>
        <w:t>第三节  扎实推进全面依法治市</w:t>
      </w:r>
      <w:bookmarkEnd w:id="36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63" w:name="_Toc21789"/>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坚持法治吴忠、法治政府、法治社会一体建设，推进科学立法、严格执法、公正司法、全民守法，为建设现代化美丽新吴忠提供坚强有力的法治保障。</w:t>
      </w:r>
    </w:p>
    <w:bookmarkEnd w:id="363"/>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64" w:name="_Toc27931"/>
      <w:bookmarkStart w:id="365" w:name="_Toc13400"/>
      <w:bookmarkStart w:id="366" w:name="_Toc32592"/>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加强法治政府建设</w:t>
      </w:r>
      <w:bookmarkEnd w:id="364"/>
      <w:bookmarkEnd w:id="365"/>
      <w:bookmarkEnd w:id="366"/>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依法全面履行政府职能，完善依法行政制度体系，坚决按照宪法和法律规定行使职权。健全依法决策机制，严格执行公众参与、专家论证、风险评估、合法性审查和集体讨论决定的法定程序，全面推行政府法律顾问制度，完善重大行政决策合法性审查机制。规范行政执法行为，落实行政执法责任制，全面推行行政执法公示、行政执法全过程记录、重大执法决定法制审核制度，提升行政执法效能和水平。强化行政权力监督制约，确保政府各项权力在阳光下运行。进一步理顺市、县（区）管理职能，建立与行政事权相匹配的管理体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367" w:name="_Toc27201"/>
      <w:bookmarkStart w:id="368" w:name="_Toc6524"/>
      <w:bookmarkStart w:id="369" w:name="_Toc13578"/>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推进法治社会建设</w:t>
      </w:r>
      <w:bookmarkEnd w:id="367"/>
      <w:bookmarkEnd w:id="368"/>
      <w:bookmarkEnd w:id="369"/>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坚持和完善人民代表大会制度、中国共产党领导的多党合作和政治协商制度，发展社会主义民主政治。弘扬社会主义法治精神，确立法治宣传教育在推进全面依法治市中的长期性基础地位，全面开展</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八五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普法，扎实推动民法典实施，广泛开展法治宣传教育，不断提高公民法治素养，营造人人学法用法尊法守法的良好社会氛围。均衡配置城乡基本公共法律服务资源，加快建设覆盖城乡、便捷高效、均等普惠的现代公共法律服务体系，更好保障人民权益、保障社会善治。</w:t>
      </w:r>
    </w:p>
    <w:p>
      <w:pPr>
        <w:pStyle w:val="2"/>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0" w:name="_Toc412"/>
      <w:bookmarkStart w:id="371" w:name="_Toc20697"/>
      <w:r>
        <w:rPr>
          <w:rFonts w:hint="default" w:ascii="Times New Roman" w:hAnsi="Times New Roman" w:eastAsia="方正黑体简体" w:cs="Times New Roman"/>
          <w:color w:val="000000"/>
          <w:spacing w:val="0"/>
          <w:sz w:val="32"/>
          <w:szCs w:val="32"/>
          <w:lang w:val="en-US" w:eastAsia="zh-CN"/>
        </w:rPr>
        <w:t>第四节  提高公共安全保障能力</w:t>
      </w:r>
      <w:bookmarkEnd w:id="370"/>
      <w:bookmarkEnd w:id="371"/>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把保护人民安全摆在首位，坚持安全发展理念，抓好重点领域安全防范，全面提高公共安全保障能力。</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强化社会治安防控治理。</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提高对社会治安的掌控力，全面落实区、市社会治安防控体系建设各项任务，推动吴忠公安大数据中心建设，完善平安建设信息化综合平台和公共区域视频监控系统，实施</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天网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铁桶</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地网</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工程。建立视图库平台，建设智慧安防社区，实现城乡社会治安防控一体化。加强公安基础设施建设，建设现代化装备体系。打造新型网络安全治理体系，加强关键信息基础设施安全防护。建立健全常态化扫黑除恶机制，坚决防范和打击暴力恐怖、黑恶势力、新型网络犯罪。全力打赢新时代禁毒人民战争，巩固深化禁毒示范城市创建成效。推进人民防空战备建设，聚力组织指挥、人民防护、目标防护、专业力量、支撑保障五大体系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加强综合应急能力建设。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应急救援信息化建设，畅通应急信息快速报送渠道，提升重特大突发事件现场处置能力。合理配置应急物资储备规模和结构，推动应急指挥（救援）中心升级完善，增强应急综合指挥能力。加强自然灾害救助、救灾物资应急调度和救灾应急社会动员，最大限度减少人员和财产损失。加强地震、水域、森林草原等专业应急救援队伍建设，切实提升综合应急救援能力。</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提高安全生产水平。</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和落实安全生产责任和管理制度，积极防范化解重大安全风险，扎实开展安全生产三年专项整治，全面提升本质安全水平。深化应急管理综合行政执法改革，强化安全生产执法监督，有效遏制较大事故，坚决杜绝重特大事故。建立重点领域公共安全隐患排查和风险防控体系，健全重大安全风险评估机制。完善食品药品安全治理体系，创建全域</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食品药品安全区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。落实属地监管责任，严格实施全过程监管，推进吴忠市食品检测中心投入运行。落实</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四个最严</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要求，加强安全风险监测评估预警，营造放心安全的市场消费环境。</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加强城乡消防能力建设。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深化消防执法改革，落实消防安全责任制，推进消防安全三年专项整治、打通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生命通道</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等重点工作。修编消防专项规划，优化消防站布局，推进城乡公共消防基础设施和消防水源建设。建成城市消防大数据库、火灾监测预警预报平台。发展多种形式消防力量，完善政、企、乡、微等消防队伍常态化联勤机制。强化消防知识宣传教育，提升群众消防安全常识知晓率。</w:t>
      </w:r>
    </w:p>
    <w:p>
      <w:pPr>
        <w:keepNext w:val="0"/>
        <w:keepLines w:val="0"/>
        <w:pageBreakBefore w:val="0"/>
        <w:widowControl/>
        <w:kinsoku/>
        <w:wordWrap/>
        <w:overflowPunct/>
        <w:topLinePunct w:val="0"/>
        <w:autoSpaceDE/>
        <w:autoSpaceDN/>
        <w:bidi w:val="0"/>
        <w:adjustRightInd/>
        <w:snapToGrid/>
        <w:spacing w:line="400" w:lineRule="exact"/>
        <w:ind w:firstLine="643"/>
        <w:textAlignment w:val="auto"/>
        <w:rPr>
          <w:rFonts w:hint="default" w:ascii="Times New Roman" w:hAnsi="Times New Roman" w:cs="Times New Roman"/>
          <w:color w:val="000000" w:themeColor="text1"/>
          <w:sz w:val="30"/>
          <w:szCs w:val="30"/>
          <w:highlight w:val="none"/>
          <w:lang w:val="en-US" w:eastAsia="zh-CN"/>
          <w14:textFill>
            <w14:solidFill>
              <w14:schemeClr w14:val="tx1"/>
            </w14:solidFill>
          </w14:textFill>
        </w:rPr>
      </w:pPr>
    </w:p>
    <w:tbl>
      <w:tblPr>
        <w:tblStyle w:val="2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15" w:type="dxa"/>
            <w:vAlign w:val="center"/>
          </w:tcPr>
          <w:p>
            <w:pPr>
              <w:pStyle w:val="34"/>
              <w:bidi w:val="0"/>
              <w:rPr>
                <w:rFonts w:hint="default" w:ascii="Times New Roman" w:hAnsi="Times New Roman" w:eastAsia="仿宋_GB2312" w:cs="Times New Roman"/>
                <w:color w:val="000000" w:themeColor="text1"/>
                <w:szCs w:val="28"/>
                <w:highlight w:val="none"/>
                <w:lang w:bidi="ar-SA"/>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专栏16  社会治理重点工程项目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015" w:type="dxa"/>
            <w:vAlign w:val="center"/>
          </w:tcPr>
          <w:p>
            <w:pPr>
              <w:pStyle w:val="3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1.应急能力提升项目：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粮食仓储物流设施提升、医疗物资储备体系建设、应急救援物资储备体系建设、消防队站及战勤保障体系建设等工程；吴忠市应急指挥（救援）中心建设项目。</w:t>
            </w:r>
          </w:p>
          <w:p>
            <w:pPr>
              <w:pStyle w:val="3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6"/>
                <w:szCs w:val="26"/>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2.公共安全保障项目：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公共安全技术核心工程和灾害综合风险普查、自然灾害防治能力提升、地震灾害防治和监测预警能力提升、食品药品安全保障等工程。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迷你简仿宋" w:cs="Times New Roman"/>
                <w:color w:val="000000" w:themeColor="text1"/>
                <w:spacing w:val="0"/>
                <w:kern w:val="2"/>
                <w:sz w:val="26"/>
                <w:szCs w:val="26"/>
                <w:highlight w:val="none"/>
                <w:lang w:val="en-US" w:eastAsia="zh-CN" w:bidi="ar-SA"/>
                <w14:textFill>
                  <w14:solidFill>
                    <w14:schemeClr w14:val="tx1"/>
                  </w14:solidFill>
                </w14:textFill>
              </w:rPr>
            </w:pPr>
            <w:r>
              <w:rPr>
                <w:rFonts w:hint="default" w:ascii="Times New Roman" w:hAnsi="Times New Roman" w:eastAsia="迷你简仿宋" w:cs="Times New Roman"/>
                <w:b/>
                <w:bCs/>
                <w:color w:val="000000" w:themeColor="text1"/>
                <w:spacing w:val="0"/>
                <w:kern w:val="2"/>
                <w:sz w:val="26"/>
                <w:szCs w:val="26"/>
                <w:highlight w:val="none"/>
                <w:lang w:val="en-US" w:eastAsia="zh-CN" w:bidi="ar-SA"/>
                <w14:textFill>
                  <w14:solidFill>
                    <w14:schemeClr w14:val="tx1"/>
                  </w14:solidFill>
                </w14:textFill>
              </w:rPr>
              <w:t>3.政法基础设施建设项目：</w:t>
            </w:r>
            <w:r>
              <w:rPr>
                <w:rFonts w:hint="default" w:ascii="Times New Roman" w:hAnsi="Times New Roman" w:eastAsia="迷你简仿宋" w:cs="Times New Roman"/>
                <w:color w:val="000000" w:themeColor="text1"/>
                <w:spacing w:val="0"/>
                <w:kern w:val="2"/>
                <w:sz w:val="26"/>
                <w:szCs w:val="26"/>
                <w:highlight w:val="none"/>
                <w:lang w:val="en-US" w:eastAsia="zh-CN" w:bidi="ar-SA"/>
                <w14:textFill>
                  <w14:solidFill>
                    <w14:schemeClr w14:val="tx1"/>
                  </w14:solidFill>
                </w14:textFill>
              </w:rPr>
              <w:t>公安基础设施改造、公安装备能力提升等工程；建设多维感知前端系统、警务大数据平台、公安大数据中心；完善县区级人民法院派出法庭、乡镇司法所基础设施项目。</w:t>
            </w:r>
          </w:p>
          <w:p>
            <w:pPr>
              <w:pStyle w:val="3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trike w:val="0"/>
                <w:dstrike w:val="0"/>
                <w:color w:val="000000" w:themeColor="text1"/>
                <w:spacing w:val="-6"/>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6"/>
                <w:szCs w:val="26"/>
                <w:highlight w:val="none"/>
                <w:lang w:val="en-US" w:eastAsia="zh-CN"/>
                <w14:textFill>
                  <w14:solidFill>
                    <w14:schemeClr w14:val="tx1"/>
                  </w14:solidFill>
                </w14:textFill>
              </w:rPr>
              <w:t>4.治安防控体系建设项目：</w:t>
            </w:r>
            <w:r>
              <w:rPr>
                <w:rFonts w:hint="default" w:ascii="Times New Roman" w:hAnsi="Times New Roman" w:cs="Times New Roman"/>
                <w:color w:val="000000" w:themeColor="text1"/>
                <w:sz w:val="26"/>
                <w:szCs w:val="26"/>
                <w:highlight w:val="none"/>
                <w:lang w:val="en-US" w:eastAsia="zh-CN"/>
                <w14:textFill>
                  <w14:solidFill>
                    <w14:schemeClr w14:val="tx1"/>
                  </w14:solidFill>
                </w14:textFill>
              </w:rPr>
              <w:t>市际、县际通道防控圈建设项目；派出所建设、智慧社区建设、智慧农村建设项目。</w:t>
            </w:r>
          </w:p>
        </w:tc>
      </w:tr>
    </w:tbl>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after="240" w:line="59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bookmarkStart w:id="372" w:name="_Toc30067"/>
      <w:r>
        <w:rPr>
          <w:rFonts w:hint="default" w:ascii="Times New Roman" w:hAnsi="Times New Roman" w:eastAsia="黑体" w:cs="Times New Roman"/>
          <w:bCs/>
          <w:color w:val="000000"/>
          <w:spacing w:val="0"/>
          <w:kern w:val="2"/>
          <w:sz w:val="32"/>
          <w:szCs w:val="32"/>
          <w:lang w:val="en-US" w:eastAsia="zh-CN" w:bidi="ar-SA"/>
        </w:rPr>
        <w:t>第十二章  全力保障规划落实  顽强奋斗铸就吴忠新辉煌</w:t>
      </w:r>
      <w:bookmarkEnd w:id="372"/>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73" w:name="_Toc14362"/>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规划和二〇三五年远景目标，必须把党的全面领导贯穿始终，充分调动一切积极因素，广泛凝聚全社会力量，形成推动发展的强大合力。</w:t>
      </w:r>
    </w:p>
    <w:p>
      <w:pPr>
        <w:pStyle w:val="2"/>
        <w:keepNext/>
        <w:keepLines/>
        <w:pageBreakBefore w:val="0"/>
        <w:widowControl w:val="0"/>
        <w:kinsoku/>
        <w:wordWrap/>
        <w:overflowPunct/>
        <w:topLinePunct w:val="0"/>
        <w:autoSpaceDE/>
        <w:autoSpaceDN/>
        <w:bidi w:val="0"/>
        <w:adjustRightInd/>
        <w:snapToGrid/>
        <w:spacing w:before="240" w:after="240" w:line="59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4" w:name="_Toc25835"/>
      <w:r>
        <w:rPr>
          <w:rFonts w:hint="default" w:ascii="Times New Roman" w:hAnsi="Times New Roman" w:eastAsia="方正黑体简体" w:cs="Times New Roman"/>
          <w:color w:val="000000"/>
          <w:spacing w:val="0"/>
          <w:sz w:val="32"/>
          <w:szCs w:val="32"/>
          <w:lang w:val="en-US" w:eastAsia="zh-CN"/>
        </w:rPr>
        <w:t>第一节  加强</w:t>
      </w:r>
      <w:bookmarkEnd w:id="373"/>
      <w:r>
        <w:rPr>
          <w:rFonts w:hint="default" w:ascii="Times New Roman" w:hAnsi="Times New Roman" w:eastAsia="方正黑体简体" w:cs="Times New Roman"/>
          <w:color w:val="000000"/>
          <w:spacing w:val="0"/>
          <w:sz w:val="32"/>
          <w:szCs w:val="32"/>
          <w:lang w:val="en-US" w:eastAsia="zh-CN"/>
        </w:rPr>
        <w:t>政治和组织保障</w:t>
      </w:r>
      <w:bookmarkEnd w:id="374"/>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加强党的全面领导。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坚持党总揽全局、协调各方，发挥各级党委（党组）在经济社会发展工作中的领导核心作用，为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实施提供坚强政治保证。全面贯彻新时代党的建设总要求和新时代党的组织路线，全面落实党把方向、谋大局、定政策、促改革的要求，把深入学习贯彻习近平新时代中国特色社会主义思想作为重大政治任务，与学习贯彻习近平总书记视察宁夏重要讲话精神结合起来，进一步增强</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四个意识</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四个自信</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、做到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两个维护</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以党的政治建设为统领，完善上下贯通、执行有力地组织体系，确保党中央决策部署有效落实。严明党的政治纪律和政治规矩，落实全面从严治党主体责任、监督责任，锲而不舍落实中央八项规定及其实施细则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加强社会主义政治建设。</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坚持党的领导、人民当家作主、依法治国有机统一，坚定不移走中国特色社会主义政治发展道路。坚持和完善人民代表大会制度，加强人大对</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一府一委两院</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的监督，保障人民依法通过各种途径和形式管理地方事务、管理经济文化事业、管理社会事务。坚持和完善中国共产党领导的多党合作和政治协商制度，加强人民政协专门协商机构建设，发挥社会主义协商民主独特优势，提高建言资政和凝聚共识水平。发挥工会、共青团、妇联等人民团体作用，把各自联系的群众紧紧凝聚在党的周围。大力支持国防和军队现代化建设，扎实推进军民融合深度发展，强化国防教育和后备力量建设，巩固提升</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全国双拥模范城</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创建成果。</w:t>
      </w:r>
    </w:p>
    <w:p>
      <w:pPr>
        <w:pStyle w:val="2"/>
        <w:keepNext/>
        <w:keepLines/>
        <w:pageBreakBefore w:val="0"/>
        <w:widowControl w:val="0"/>
        <w:kinsoku/>
        <w:wordWrap/>
        <w:overflowPunct/>
        <w:topLinePunct w:val="0"/>
        <w:autoSpaceDE/>
        <w:autoSpaceDN/>
        <w:bidi w:val="0"/>
        <w:adjustRightInd/>
        <w:snapToGrid/>
        <w:spacing w:before="240" w:after="240" w:line="590" w:lineRule="exact"/>
        <w:ind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5" w:name="_Toc2940"/>
      <w:r>
        <w:rPr>
          <w:rFonts w:hint="default" w:ascii="Times New Roman" w:hAnsi="Times New Roman" w:cs="Times New Roman"/>
          <w:color w:val="000000" w:themeColor="text1"/>
          <w:highlight w:val="none"/>
          <w:lang w:val="en-US" w:eastAsia="zh-CN"/>
          <w14:textFill>
            <w14:solidFill>
              <w14:schemeClr w14:val="tx1"/>
            </w14:solidFill>
          </w14:textFill>
        </w:rPr>
        <w:t xml:space="preserve">第二节  </w:t>
      </w:r>
      <w:r>
        <w:rPr>
          <w:rFonts w:hint="default" w:ascii="Times New Roman" w:hAnsi="Times New Roman" w:cs="Times New Roman"/>
          <w:color w:val="000000" w:themeColor="text1"/>
          <w:sz w:val="32"/>
          <w:szCs w:val="22"/>
          <w:highlight w:val="none"/>
          <w:lang w:val="en-US" w:eastAsia="zh-CN"/>
          <w14:textFill>
            <w14:solidFill>
              <w14:schemeClr w14:val="tx1"/>
            </w14:solidFill>
          </w14:textFill>
        </w:rPr>
        <w:t>激发干部群众奋斗精神</w:t>
      </w:r>
      <w:bookmarkEnd w:id="375"/>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2" w:firstLineChars="200"/>
        <w:jc w:val="lef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激发奋斗之志。</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深入学习并运用中国共产党一百年的宝贵经验，教育引导广大党员干部坚持共产主义远大理想和中国特色社会主义共同理想，不忘初心、牢记使命，为党和人民事业不懈奋斗。注重培养党员干部的斗争精神，在重大斗争中锻炼干部、在重大任务中磨炼干部、在重大风险中淬炼干部，安排干部特别是年轻干部到基层一线、艰苦环境、吃劲负重岗位历练成长，不断强化斗争意识、增强斗争魄力、提高斗争本领。</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2" w:firstLineChars="200"/>
        <w:jc w:val="lef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提升素质能力。</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加强干部队伍建设，落实好干部标准，着力提升干部政治能力、专业能力，提高各级领导班子和干部适应新时代新要求抓改革、促发展、保稳定水平和专业化能力。严把政治标准，健全落实科学精准的选贤任能制度，重基层、重实干、重实绩，以正确用人导向引领干事创业导向。健全完善崇尚实干、带动担当、加油鼓劲的正向激励体系，坚持容错纠错，营造鼓励创新、宽容失误、关心关爱的良好干事氛围，充分调动党员干部担当作为、干事创业的积极性、主动性、创造性。</w:t>
      </w:r>
    </w:p>
    <w:p>
      <w:pPr>
        <w:pStyle w:val="2"/>
        <w:keepNext/>
        <w:keepLines/>
        <w:pageBreakBefore w:val="0"/>
        <w:widowControl w:val="0"/>
        <w:kinsoku/>
        <w:wordWrap/>
        <w:overflowPunct/>
        <w:topLinePunct w:val="0"/>
        <w:autoSpaceDE/>
        <w:autoSpaceDN/>
        <w:bidi w:val="0"/>
        <w:adjustRightInd/>
        <w:snapToGrid/>
        <w:spacing w:before="240" w:after="240" w:line="59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6" w:name="_Toc5848"/>
      <w:bookmarkStart w:id="377" w:name="_Toc30477"/>
      <w:r>
        <w:rPr>
          <w:rFonts w:hint="default" w:ascii="Times New Roman" w:hAnsi="Times New Roman" w:cs="Times New Roman"/>
          <w:color w:val="000000" w:themeColor="text1"/>
          <w:highlight w:val="none"/>
          <w:lang w:val="en-US" w:eastAsia="zh-CN"/>
          <w14:textFill>
            <w14:solidFill>
              <w14:schemeClr w14:val="tx1"/>
            </w14:solidFill>
          </w14:textFill>
        </w:rPr>
        <w:t xml:space="preserve">第三节 </w:t>
      </w:r>
      <w:bookmarkEnd w:id="376"/>
      <w:r>
        <w:rPr>
          <w:rFonts w:hint="default" w:ascii="Times New Roman" w:hAnsi="Times New Roman" w:cs="Times New Roman"/>
          <w:color w:val="000000" w:themeColor="text1"/>
          <w:highlight w:val="none"/>
          <w:lang w:val="en-US" w:eastAsia="zh-CN"/>
          <w14:textFill>
            <w14:solidFill>
              <w14:schemeClr w14:val="tx1"/>
            </w14:solidFill>
          </w14:textFill>
        </w:rPr>
        <w:t xml:space="preserve"> 确保完成规划目标任务</w:t>
      </w:r>
      <w:bookmarkEnd w:id="377"/>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健全规划落实机制。</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完善规划体系，强化政策引导和要素保障，制定规划年度实施方案，建立保障规划实施的长效机制。强化国民经济和社会发展总体规划的引导地位，市级专项规划和县级规划要贯彻总体规划的战略意图和主要任务，加强与国土空间规划的衔接，确保各级各类规划在总体要求上方向一致、空间布局上相互协调、时序安排上科学有序。规划提出的发展目标、重点任务和重大项目，要纳入经济社会发展年度规划，并分解到各地、各部门，确保规划目标任务有计划、按步骤得到落实。预期性指标主要依靠市场在资源配置上起决定性作用和更好地发挥政府作用，激发市场主体的积极性和创造性。约束性指标要纳入各地、各部门经济社会发展综合评价和绩效考核体系。</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78" w:name="_Toc4343"/>
      <w:bookmarkStart w:id="379" w:name="_Toc16454"/>
      <w:bookmarkStart w:id="380" w:name="_Toc23792"/>
      <w:bookmarkStart w:id="381" w:name="_Toc21743"/>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强化规划实施支撑</w:t>
      </w:r>
      <w:bookmarkEnd w:id="378"/>
      <w:bookmarkEnd w:id="379"/>
      <w:bookmarkEnd w:id="380"/>
      <w:bookmarkEnd w:id="381"/>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把实施项目带动作为推动规划实施的重要手段，以规划带动项目建设，以项目促进规划落实。扎实做好重点项目谋划入库，全市确定</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重点建设项目2601个，总投资6431亿元。其中，工业项目339个，投资2485亿元；农业项目435个，投资867亿元；服务业项目225个，投资678亿元；基础设施项目1118个，投资2107亿元；民生和社会事业项目484个，投资294亿元。深入推进重点项目各级领导包抓制、定期通报制、半年观摩制和年终考核奖罚制等八项制度。坚持</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五个一</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工作机制，确保重点项目接替有序、推进持续有力，积极创造条件，确保重点项目早开工、早建成、早投产、早达效。以重点项目的要素驱动和创新驱动的双轮驱动，确保</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规划蓝图顺利实现。</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bookmarkStart w:id="382" w:name="_Toc437273212"/>
      <w:bookmarkStart w:id="383" w:name="_Toc436400658"/>
      <w:bookmarkStart w:id="384" w:name="_Toc14631"/>
      <w:bookmarkStart w:id="385" w:name="_Toc25100"/>
      <w:bookmarkStart w:id="386" w:name="_Toc17418"/>
      <w:bookmarkStart w:id="387" w:name="_Toc24047"/>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加强规划监督</w:t>
      </w:r>
      <w:bookmarkEnd w:id="382"/>
      <w:bookmarkEnd w:id="383"/>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考核</w:t>
      </w:r>
      <w:bookmarkEnd w:id="384"/>
      <w:bookmarkEnd w:id="385"/>
      <w:bookmarkEnd w:id="386"/>
      <w:bookmarkEnd w:id="387"/>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各级、各部门要自觉接受人民代表大会及其常务委员会对规划实施情况的监督检查，完善政府向人大、政协的报告和沟通机制。加强规划实施的社会监督，发挥新闻媒体和群众社团的桥梁和监督作用，健全政府与企业、市民的信息沟通和反馈机制。各级政府要加强对结构优化、民生改善、资源节约、生态环境和基本公共服务等目标任务完成情况的综合评价考核。完善年度考核和中期评估制度，检查规划落实情况，分析规划实施效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Style w:val="29"/>
          <w:rFonts w:hint="default" w:ascii="Times New Roman" w:hAnsi="Times New Roman" w:eastAsia="方正楷体_GBK" w:cs="Times New Roman"/>
          <w:color w:val="000000" w:themeColor="text1"/>
          <w:kern w:val="2"/>
          <w:highlight w:val="none"/>
          <w:lang w:val="en-US" w:eastAsia="zh-CN" w:bidi="ar-SA"/>
          <w14:textFill>
            <w14:solidFill>
              <w14:schemeClr w14:val="tx1"/>
            </w14:solidFill>
          </w14:textFill>
        </w:rPr>
        <w:t>动员全社会共同落实规划。</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强化宣传引导，深入宣传</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规划纲要的思路、目标及重点任务，调动公众参与，进一步凝聚社会共识。探索创新公众参与形式，拓宽公众参与渠道，推进规划实施信息公开，提高规划实施的透明度，集全市之力、集各方之智共同落实规划。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实现</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十四五</w:t>
      </w:r>
      <w:r>
        <w:rPr>
          <w:rFonts w:hint="eastAsia" w:ascii="Times New Roman" w:hAnsi="Times New Roman" w:eastAsia="方正仿宋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规划和二〇三五年远景目标，意义重大，任务艰巨，前景光明。全市各族人民要紧密团结在以习近平同志为核心的党中央周围，同心同德，顽强奋斗，为建设现代化美丽新吴忠而努力奋斗！</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bookmarkStart w:id="388" w:name="_GoBack"/>
      <w:bookmarkEnd w:id="388"/>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ind w:left="0" w:leftChars="0" w:firstLine="0" w:firstLineChars="0"/>
        <w:rPr>
          <w:rFonts w:hint="default"/>
          <w:lang w:val="en-US" w:eastAsia="zh-CN"/>
        </w:rPr>
      </w:pPr>
    </w:p>
    <w:p>
      <w:pPr>
        <w:pBdr>
          <w:top w:val="single" w:color="auto" w:sz="6" w:space="1"/>
          <w:bottom w:val="single" w:color="auto" w:sz="6" w:space="1"/>
        </w:pBdr>
        <w:spacing w:line="560" w:lineRule="exact"/>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z w:val="28"/>
          <w:szCs w:val="28"/>
        </w:rPr>
        <w:t>抄送：</w:t>
      </w:r>
      <w:r>
        <w:rPr>
          <w:rFonts w:hint="eastAsia" w:ascii="方正仿宋_GBK" w:hAnsi="方正仿宋_GBK" w:eastAsia="方正仿宋_GBK" w:cs="方正仿宋_GBK"/>
          <w:color w:val="000000"/>
          <w:spacing w:val="-6"/>
          <w:sz w:val="28"/>
          <w:szCs w:val="28"/>
        </w:rPr>
        <w:t>自治区发展改革委。</w:t>
      </w:r>
    </w:p>
    <w:p>
      <w:pPr>
        <w:pBdr>
          <w:top w:val="single" w:color="auto" w:sz="6" w:space="1"/>
          <w:bottom w:val="single" w:color="auto" w:sz="6" w:space="1"/>
        </w:pBdr>
        <w:spacing w:line="560" w:lineRule="exact"/>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 xml:space="preserve">       吴忠市人大常委</w:t>
      </w:r>
      <w:r>
        <w:rPr>
          <w:rFonts w:hint="eastAsia" w:ascii="方正仿宋_GBK" w:hAnsi="方正仿宋_GBK" w:eastAsia="方正仿宋_GBK" w:cs="方正仿宋_GBK"/>
          <w:color w:val="000000"/>
          <w:spacing w:val="-6"/>
          <w:sz w:val="28"/>
          <w:szCs w:val="28"/>
          <w:lang w:eastAsia="zh-CN"/>
        </w:rPr>
        <w:t>会</w:t>
      </w:r>
      <w:r>
        <w:rPr>
          <w:rFonts w:hint="eastAsia" w:ascii="方正仿宋_GBK" w:hAnsi="方正仿宋_GBK" w:eastAsia="方正仿宋_GBK" w:cs="方正仿宋_GBK"/>
          <w:color w:val="000000"/>
          <w:spacing w:val="-6"/>
          <w:sz w:val="28"/>
          <w:szCs w:val="28"/>
        </w:rPr>
        <w:t>办公室，吴忠市政协办公室，吴忠市中级法院，</w:t>
      </w:r>
    </w:p>
    <w:p>
      <w:pPr>
        <w:pBdr>
          <w:top w:val="single" w:color="auto" w:sz="6" w:space="1"/>
          <w:bottom w:val="single" w:color="auto" w:sz="6" w:space="1"/>
        </w:pBdr>
        <w:spacing w:line="560" w:lineRule="exact"/>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 xml:space="preserve">       吴忠市检察院。</w:t>
      </w:r>
    </w:p>
    <w:p>
      <w:pPr>
        <w:pBdr>
          <w:top w:val="single" w:color="auto" w:sz="6" w:space="1"/>
          <w:bottom w:val="single" w:color="auto" w:sz="6" w:space="1"/>
        </w:pBdr>
        <w:spacing w:line="560" w:lineRule="exact"/>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 xml:space="preserve">       各人民团体，各民主党派吴忠市委员会。</w:t>
      </w:r>
    </w:p>
    <w:p>
      <w:pPr>
        <w:pBdr>
          <w:bottom w:val="single" w:color="auto" w:sz="6" w:space="1"/>
          <w:between w:val="single" w:color="auto" w:sz="6" w:space="0"/>
        </w:pBdr>
        <w:spacing w:line="560" w:lineRule="exact"/>
        <w:rPr>
          <w:rFonts w:hint="default"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 w:val="28"/>
          <w:szCs w:val="28"/>
        </w:rPr>
        <w:t>吴忠市人民政府办公室                  20</w:t>
      </w:r>
      <w:r>
        <w:rPr>
          <w:rFonts w:hint="eastAsia" w:ascii="方正仿宋_GBK" w:hAnsi="方正仿宋_GBK" w:eastAsia="方正仿宋_GBK" w:cs="方正仿宋_GBK"/>
          <w:color w:val="000000"/>
          <w:sz w:val="28"/>
          <w:szCs w:val="28"/>
          <w:lang w:val="en-US" w:eastAsia="zh-CN"/>
        </w:rPr>
        <w:t>21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日印发</w:t>
      </w:r>
    </w:p>
    <w:sectPr>
      <w:footerReference r:id="rId5" w:type="default"/>
      <w:pgSz w:w="11906" w:h="16838"/>
      <w:pgMar w:top="1701" w:right="1304" w:bottom="1701" w:left="1587" w:header="851" w:footer="992" w:gutter="0"/>
      <w:pgNumType w:fmt="numberInDash" w:start="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迷你简粗仿宋">
    <w:altName w:val="仿宋"/>
    <w:panose1 w:val="02010604000101010101"/>
    <w:charset w:val="86"/>
    <w:family w:val="auto"/>
    <w:pitch w:val="default"/>
    <w:sig w:usb0="00000000" w:usb1="00000000" w:usb2="00000002" w:usb3="00000000" w:csb0="00040000" w:csb1="00000000"/>
  </w:font>
  <w:font w:name="迷你简仿宋">
    <w:altName w:val="仿宋"/>
    <w:panose1 w:val="03000509000000000000"/>
    <w:charset w:val="86"/>
    <w:family w:val="auto"/>
    <w:pitch w:val="default"/>
    <w:sig w:usb0="00000000" w:usb1="00000000" w:usb2="00000000" w:usb3="00000000" w:csb0="00040000" w:csb1="00000000"/>
  </w:font>
  <w:font w:name="Arial">
    <w:altName w:val="Times New Roman"/>
    <w:panose1 w:val="020B0604020202020204"/>
    <w:charset w:val="01"/>
    <w:family w:val="swiss"/>
    <w:pitch w:val="default"/>
    <w:sig w:usb0="00000000" w:usb1="00000000"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ambria">
    <w:altName w:val="Caladea"/>
    <w:panose1 w:val="02040503050406030204"/>
    <w:charset w:val="00"/>
    <w:family w:val="roman"/>
    <w:pitch w:val="default"/>
    <w:sig w:usb0="00000000" w:usb1="00000000" w:usb2="00000000" w:usb3="00000000" w:csb0="2000019F"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adea">
    <w:panose1 w:val="02040503050406030204"/>
    <w:charset w:val="00"/>
    <w:family w:val="auto"/>
    <w:pitch w:val="default"/>
    <w:sig w:usb0="00000007" w:usb1="00000000" w:usb2="00000000" w:usb3="00000000" w:csb0="20000093"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s0lY7tAAAAAFAQAADwAAAAAA&#10;AAABACAAAAA4AAAAZHJzL2Rvd25yZXYueG1sUEsBAhQAFAAAAAgAh07iQOaik3fMAQAAeQMAAA4A&#10;AAAAAAAAAQAgAAAANQEAAGRycy9lMm9Eb2MueG1sUEsFBgAAAAAGAAYAWQEAAHMFAAAAAA==&#10;">
              <v:fill on="f" focussize="0,0"/>
              <v:stroke on="f" weight="0.5pt"/>
              <v:imagedata o:title=""/>
              <o:lock v:ext="edit" aspectratio="f"/>
              <v:textbox inset="0mm,0mm,0mm,0mm" style="mso-fit-shape-to-text:t;">
                <w:txbxContent>
                  <w:p>
                    <w:pPr>
                      <w:pStyle w:val="1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C6CEA"/>
    <w:rsid w:val="00195D6C"/>
    <w:rsid w:val="003E3973"/>
    <w:rsid w:val="007070F2"/>
    <w:rsid w:val="00A16BD1"/>
    <w:rsid w:val="00B173B3"/>
    <w:rsid w:val="00B36A59"/>
    <w:rsid w:val="00EE3EE9"/>
    <w:rsid w:val="0100548B"/>
    <w:rsid w:val="01366C00"/>
    <w:rsid w:val="0152484D"/>
    <w:rsid w:val="016B4C98"/>
    <w:rsid w:val="0189393C"/>
    <w:rsid w:val="018C69B7"/>
    <w:rsid w:val="0192152D"/>
    <w:rsid w:val="01956C5E"/>
    <w:rsid w:val="019572FE"/>
    <w:rsid w:val="01A41AFC"/>
    <w:rsid w:val="01A44ABD"/>
    <w:rsid w:val="01BF21B9"/>
    <w:rsid w:val="01D87E23"/>
    <w:rsid w:val="01E00A81"/>
    <w:rsid w:val="01FE2FD8"/>
    <w:rsid w:val="021614FC"/>
    <w:rsid w:val="0223670A"/>
    <w:rsid w:val="022F1E74"/>
    <w:rsid w:val="024C347A"/>
    <w:rsid w:val="026F4588"/>
    <w:rsid w:val="028A3BA7"/>
    <w:rsid w:val="02AA39D6"/>
    <w:rsid w:val="02BA3FF0"/>
    <w:rsid w:val="02F10A46"/>
    <w:rsid w:val="02F137B7"/>
    <w:rsid w:val="030A54B6"/>
    <w:rsid w:val="033E0B18"/>
    <w:rsid w:val="033E13FD"/>
    <w:rsid w:val="03B274EF"/>
    <w:rsid w:val="03BE631F"/>
    <w:rsid w:val="03D9252C"/>
    <w:rsid w:val="040565A0"/>
    <w:rsid w:val="04095D1E"/>
    <w:rsid w:val="041B08E8"/>
    <w:rsid w:val="041D0DE1"/>
    <w:rsid w:val="041E6DD4"/>
    <w:rsid w:val="04635442"/>
    <w:rsid w:val="0494136D"/>
    <w:rsid w:val="04A937E3"/>
    <w:rsid w:val="04B27BC7"/>
    <w:rsid w:val="04D9279D"/>
    <w:rsid w:val="050D30CA"/>
    <w:rsid w:val="05256FF6"/>
    <w:rsid w:val="053C3D51"/>
    <w:rsid w:val="05A418F2"/>
    <w:rsid w:val="06055BA7"/>
    <w:rsid w:val="061B323C"/>
    <w:rsid w:val="06456687"/>
    <w:rsid w:val="067F21D3"/>
    <w:rsid w:val="068E5B0C"/>
    <w:rsid w:val="06F75560"/>
    <w:rsid w:val="07146D98"/>
    <w:rsid w:val="071D3317"/>
    <w:rsid w:val="0728123D"/>
    <w:rsid w:val="074E6658"/>
    <w:rsid w:val="07667AE1"/>
    <w:rsid w:val="077D2820"/>
    <w:rsid w:val="07EC154C"/>
    <w:rsid w:val="07EE04CB"/>
    <w:rsid w:val="08144B60"/>
    <w:rsid w:val="081D0805"/>
    <w:rsid w:val="08395940"/>
    <w:rsid w:val="083A2A23"/>
    <w:rsid w:val="085A3CC5"/>
    <w:rsid w:val="08634ABB"/>
    <w:rsid w:val="086A67DA"/>
    <w:rsid w:val="08BD61C9"/>
    <w:rsid w:val="091A7E1A"/>
    <w:rsid w:val="091E6127"/>
    <w:rsid w:val="09584866"/>
    <w:rsid w:val="096A382D"/>
    <w:rsid w:val="09733222"/>
    <w:rsid w:val="09B05240"/>
    <w:rsid w:val="09B4160D"/>
    <w:rsid w:val="09DE2E95"/>
    <w:rsid w:val="0A0D4F2C"/>
    <w:rsid w:val="0A6B1D21"/>
    <w:rsid w:val="0A774CEC"/>
    <w:rsid w:val="0AA36D12"/>
    <w:rsid w:val="0AB1616E"/>
    <w:rsid w:val="0AEE4E1B"/>
    <w:rsid w:val="0B1E189E"/>
    <w:rsid w:val="0B346283"/>
    <w:rsid w:val="0B3B4BAA"/>
    <w:rsid w:val="0B723D50"/>
    <w:rsid w:val="0B8300E7"/>
    <w:rsid w:val="0B863974"/>
    <w:rsid w:val="0BA24B5C"/>
    <w:rsid w:val="0BB54EBB"/>
    <w:rsid w:val="0BCD085C"/>
    <w:rsid w:val="0BF0313E"/>
    <w:rsid w:val="0C3A6D21"/>
    <w:rsid w:val="0C4C0CDE"/>
    <w:rsid w:val="0C7570DA"/>
    <w:rsid w:val="0C8D7718"/>
    <w:rsid w:val="0C8E5DD2"/>
    <w:rsid w:val="0CC45227"/>
    <w:rsid w:val="0CD6651D"/>
    <w:rsid w:val="0CDE36F8"/>
    <w:rsid w:val="0CE83CBE"/>
    <w:rsid w:val="0D4773FA"/>
    <w:rsid w:val="0D5E68AA"/>
    <w:rsid w:val="0D9C0B26"/>
    <w:rsid w:val="0DDA6840"/>
    <w:rsid w:val="0DE62E5D"/>
    <w:rsid w:val="0DFD2EE6"/>
    <w:rsid w:val="0E2E2F00"/>
    <w:rsid w:val="0E414FC2"/>
    <w:rsid w:val="0E467B4A"/>
    <w:rsid w:val="0E487F4D"/>
    <w:rsid w:val="0E5E13D4"/>
    <w:rsid w:val="0E5E45F1"/>
    <w:rsid w:val="0E780C06"/>
    <w:rsid w:val="0E7C45B8"/>
    <w:rsid w:val="0E801C3D"/>
    <w:rsid w:val="0EA067C0"/>
    <w:rsid w:val="0F002C4D"/>
    <w:rsid w:val="0F0C0A23"/>
    <w:rsid w:val="0F112ADC"/>
    <w:rsid w:val="0F2D3790"/>
    <w:rsid w:val="0F3126FC"/>
    <w:rsid w:val="0F45243A"/>
    <w:rsid w:val="0F581E8B"/>
    <w:rsid w:val="0F6A5248"/>
    <w:rsid w:val="0F722F38"/>
    <w:rsid w:val="0F727CC2"/>
    <w:rsid w:val="0F8013BB"/>
    <w:rsid w:val="0F8F7E63"/>
    <w:rsid w:val="0F9E5B88"/>
    <w:rsid w:val="0FAC7CB5"/>
    <w:rsid w:val="0FD06DA8"/>
    <w:rsid w:val="101F32D3"/>
    <w:rsid w:val="102D0195"/>
    <w:rsid w:val="102D0957"/>
    <w:rsid w:val="10366F24"/>
    <w:rsid w:val="108A0B39"/>
    <w:rsid w:val="10A9060B"/>
    <w:rsid w:val="10AF6832"/>
    <w:rsid w:val="11194A68"/>
    <w:rsid w:val="114D230C"/>
    <w:rsid w:val="11634A47"/>
    <w:rsid w:val="11721F05"/>
    <w:rsid w:val="119A6B7A"/>
    <w:rsid w:val="11DA54A8"/>
    <w:rsid w:val="11E76042"/>
    <w:rsid w:val="11E8609E"/>
    <w:rsid w:val="11FF5DFF"/>
    <w:rsid w:val="12003B4C"/>
    <w:rsid w:val="12533969"/>
    <w:rsid w:val="12575A0E"/>
    <w:rsid w:val="127C350F"/>
    <w:rsid w:val="12951FC5"/>
    <w:rsid w:val="12C7615C"/>
    <w:rsid w:val="12EA59AA"/>
    <w:rsid w:val="13107BAF"/>
    <w:rsid w:val="131D089A"/>
    <w:rsid w:val="135F4F42"/>
    <w:rsid w:val="139335B3"/>
    <w:rsid w:val="13964DCD"/>
    <w:rsid w:val="13C03345"/>
    <w:rsid w:val="1413748B"/>
    <w:rsid w:val="145F6826"/>
    <w:rsid w:val="146D295D"/>
    <w:rsid w:val="14814081"/>
    <w:rsid w:val="14843D9A"/>
    <w:rsid w:val="148A263D"/>
    <w:rsid w:val="149D3B0D"/>
    <w:rsid w:val="14B67E6D"/>
    <w:rsid w:val="14CC13BF"/>
    <w:rsid w:val="14D050C8"/>
    <w:rsid w:val="14F2653B"/>
    <w:rsid w:val="14F727E7"/>
    <w:rsid w:val="151E73BC"/>
    <w:rsid w:val="155E2A11"/>
    <w:rsid w:val="15655CC9"/>
    <w:rsid w:val="1568349E"/>
    <w:rsid w:val="157A75B6"/>
    <w:rsid w:val="158E5483"/>
    <w:rsid w:val="159813BD"/>
    <w:rsid w:val="159B6E11"/>
    <w:rsid w:val="161F1C23"/>
    <w:rsid w:val="165B3BD0"/>
    <w:rsid w:val="16695711"/>
    <w:rsid w:val="16787208"/>
    <w:rsid w:val="169F2F87"/>
    <w:rsid w:val="16B25781"/>
    <w:rsid w:val="16BE0443"/>
    <w:rsid w:val="16C03506"/>
    <w:rsid w:val="16F13B8E"/>
    <w:rsid w:val="170D6512"/>
    <w:rsid w:val="17377001"/>
    <w:rsid w:val="176D3533"/>
    <w:rsid w:val="177673D8"/>
    <w:rsid w:val="17792329"/>
    <w:rsid w:val="178B2506"/>
    <w:rsid w:val="179775BE"/>
    <w:rsid w:val="17C003B9"/>
    <w:rsid w:val="17CA70B2"/>
    <w:rsid w:val="18052690"/>
    <w:rsid w:val="182C0DBB"/>
    <w:rsid w:val="184708ED"/>
    <w:rsid w:val="184C02E0"/>
    <w:rsid w:val="18583259"/>
    <w:rsid w:val="18597998"/>
    <w:rsid w:val="186D0D3E"/>
    <w:rsid w:val="188F46B4"/>
    <w:rsid w:val="18933044"/>
    <w:rsid w:val="18964B6F"/>
    <w:rsid w:val="18A607F3"/>
    <w:rsid w:val="18E74AB6"/>
    <w:rsid w:val="18FB247E"/>
    <w:rsid w:val="19321A79"/>
    <w:rsid w:val="195001D8"/>
    <w:rsid w:val="195C6474"/>
    <w:rsid w:val="19642944"/>
    <w:rsid w:val="196A4BF8"/>
    <w:rsid w:val="19983BCC"/>
    <w:rsid w:val="199A10FD"/>
    <w:rsid w:val="19A139C1"/>
    <w:rsid w:val="19B56854"/>
    <w:rsid w:val="19F10FEF"/>
    <w:rsid w:val="19F6251D"/>
    <w:rsid w:val="1A0C4496"/>
    <w:rsid w:val="1A157D89"/>
    <w:rsid w:val="1A1A6863"/>
    <w:rsid w:val="1A1E22E0"/>
    <w:rsid w:val="1A5132A3"/>
    <w:rsid w:val="1A6019AB"/>
    <w:rsid w:val="1A787588"/>
    <w:rsid w:val="1AA01927"/>
    <w:rsid w:val="1AA07234"/>
    <w:rsid w:val="1AC85441"/>
    <w:rsid w:val="1ACE0F76"/>
    <w:rsid w:val="1B1805CB"/>
    <w:rsid w:val="1B220317"/>
    <w:rsid w:val="1B6001E8"/>
    <w:rsid w:val="1B60499A"/>
    <w:rsid w:val="1BA84E74"/>
    <w:rsid w:val="1BB37727"/>
    <w:rsid w:val="1BC21FAE"/>
    <w:rsid w:val="1BD82EF7"/>
    <w:rsid w:val="1BE411B7"/>
    <w:rsid w:val="1C144B79"/>
    <w:rsid w:val="1C245F9B"/>
    <w:rsid w:val="1C25784D"/>
    <w:rsid w:val="1C271037"/>
    <w:rsid w:val="1C4E0E5E"/>
    <w:rsid w:val="1C713687"/>
    <w:rsid w:val="1CB0263D"/>
    <w:rsid w:val="1CB655E7"/>
    <w:rsid w:val="1CEF0BA3"/>
    <w:rsid w:val="1D1507D2"/>
    <w:rsid w:val="1D1B13CB"/>
    <w:rsid w:val="1D2F0CDD"/>
    <w:rsid w:val="1D4B3FB9"/>
    <w:rsid w:val="1D4D0FD7"/>
    <w:rsid w:val="1D4D2245"/>
    <w:rsid w:val="1D5A4E79"/>
    <w:rsid w:val="1D5D081A"/>
    <w:rsid w:val="1D64618B"/>
    <w:rsid w:val="1D6813D5"/>
    <w:rsid w:val="1D9B48DC"/>
    <w:rsid w:val="1E7D2F70"/>
    <w:rsid w:val="1E8364AD"/>
    <w:rsid w:val="1EAD37F9"/>
    <w:rsid w:val="1ECB191E"/>
    <w:rsid w:val="1ED70334"/>
    <w:rsid w:val="1F1B5C44"/>
    <w:rsid w:val="1F2D12B3"/>
    <w:rsid w:val="1F34747D"/>
    <w:rsid w:val="1F444ABD"/>
    <w:rsid w:val="1F4A6DE6"/>
    <w:rsid w:val="1F4C6CEA"/>
    <w:rsid w:val="1F8F3B1D"/>
    <w:rsid w:val="1FB941D8"/>
    <w:rsid w:val="1FC26375"/>
    <w:rsid w:val="1FE23271"/>
    <w:rsid w:val="20006C90"/>
    <w:rsid w:val="20187200"/>
    <w:rsid w:val="20361C5A"/>
    <w:rsid w:val="204076FE"/>
    <w:rsid w:val="204E7606"/>
    <w:rsid w:val="207711AD"/>
    <w:rsid w:val="20C433C5"/>
    <w:rsid w:val="20E329B3"/>
    <w:rsid w:val="20EF6F7A"/>
    <w:rsid w:val="212F2798"/>
    <w:rsid w:val="21374314"/>
    <w:rsid w:val="214A32B7"/>
    <w:rsid w:val="214C69A9"/>
    <w:rsid w:val="214E2450"/>
    <w:rsid w:val="21503684"/>
    <w:rsid w:val="216E2680"/>
    <w:rsid w:val="216E49E0"/>
    <w:rsid w:val="218E0B76"/>
    <w:rsid w:val="21B646BC"/>
    <w:rsid w:val="21C6437E"/>
    <w:rsid w:val="21F15CC1"/>
    <w:rsid w:val="220A56E2"/>
    <w:rsid w:val="223469E1"/>
    <w:rsid w:val="224E2A89"/>
    <w:rsid w:val="22572479"/>
    <w:rsid w:val="225A76E2"/>
    <w:rsid w:val="2283308D"/>
    <w:rsid w:val="22A83660"/>
    <w:rsid w:val="234D3542"/>
    <w:rsid w:val="23614DD9"/>
    <w:rsid w:val="237A60A2"/>
    <w:rsid w:val="239656BB"/>
    <w:rsid w:val="23C26CA5"/>
    <w:rsid w:val="23EC1152"/>
    <w:rsid w:val="23F73F23"/>
    <w:rsid w:val="24146298"/>
    <w:rsid w:val="24306213"/>
    <w:rsid w:val="244A2C45"/>
    <w:rsid w:val="24513936"/>
    <w:rsid w:val="24A967BC"/>
    <w:rsid w:val="24B11837"/>
    <w:rsid w:val="24D26D63"/>
    <w:rsid w:val="25037C32"/>
    <w:rsid w:val="25353133"/>
    <w:rsid w:val="254213FB"/>
    <w:rsid w:val="254E49DB"/>
    <w:rsid w:val="256454C1"/>
    <w:rsid w:val="25902E3C"/>
    <w:rsid w:val="259208CF"/>
    <w:rsid w:val="259A2A90"/>
    <w:rsid w:val="25A157D4"/>
    <w:rsid w:val="25FF7C2F"/>
    <w:rsid w:val="26522E81"/>
    <w:rsid w:val="26572E0E"/>
    <w:rsid w:val="26E87229"/>
    <w:rsid w:val="270C6304"/>
    <w:rsid w:val="271D444B"/>
    <w:rsid w:val="271E3917"/>
    <w:rsid w:val="27302F57"/>
    <w:rsid w:val="2738708D"/>
    <w:rsid w:val="276072B4"/>
    <w:rsid w:val="276F6562"/>
    <w:rsid w:val="27B64621"/>
    <w:rsid w:val="27C71CCC"/>
    <w:rsid w:val="27E107EA"/>
    <w:rsid w:val="280B7136"/>
    <w:rsid w:val="280C7BC6"/>
    <w:rsid w:val="282E48EC"/>
    <w:rsid w:val="283D3060"/>
    <w:rsid w:val="28745823"/>
    <w:rsid w:val="28A02848"/>
    <w:rsid w:val="28C662C3"/>
    <w:rsid w:val="28DB34CB"/>
    <w:rsid w:val="290343AE"/>
    <w:rsid w:val="29206761"/>
    <w:rsid w:val="29552CF0"/>
    <w:rsid w:val="297B3FAB"/>
    <w:rsid w:val="29DB7C1C"/>
    <w:rsid w:val="2A107BBF"/>
    <w:rsid w:val="2A5A69BD"/>
    <w:rsid w:val="2A605282"/>
    <w:rsid w:val="2A932085"/>
    <w:rsid w:val="2AAB5DEB"/>
    <w:rsid w:val="2AD60091"/>
    <w:rsid w:val="2AD70128"/>
    <w:rsid w:val="2AEE2092"/>
    <w:rsid w:val="2B0772DD"/>
    <w:rsid w:val="2B122170"/>
    <w:rsid w:val="2B1830C6"/>
    <w:rsid w:val="2B3C6EF0"/>
    <w:rsid w:val="2B3E1F13"/>
    <w:rsid w:val="2B45239F"/>
    <w:rsid w:val="2B7E77AE"/>
    <w:rsid w:val="2BC53719"/>
    <w:rsid w:val="2C1C2D3F"/>
    <w:rsid w:val="2C6C784E"/>
    <w:rsid w:val="2C700D32"/>
    <w:rsid w:val="2CBD7001"/>
    <w:rsid w:val="2CC721F3"/>
    <w:rsid w:val="2CF272EC"/>
    <w:rsid w:val="2CF9721F"/>
    <w:rsid w:val="2D065380"/>
    <w:rsid w:val="2D232977"/>
    <w:rsid w:val="2D3D4157"/>
    <w:rsid w:val="2DB1573B"/>
    <w:rsid w:val="2DBF3721"/>
    <w:rsid w:val="2DC00444"/>
    <w:rsid w:val="2DEF4D17"/>
    <w:rsid w:val="2E42459C"/>
    <w:rsid w:val="2E557D43"/>
    <w:rsid w:val="2E9A51FE"/>
    <w:rsid w:val="2EA760B1"/>
    <w:rsid w:val="2EAC30A9"/>
    <w:rsid w:val="2EB266AC"/>
    <w:rsid w:val="2ECA6033"/>
    <w:rsid w:val="2EF84B1C"/>
    <w:rsid w:val="2F6036D7"/>
    <w:rsid w:val="2FC26B8C"/>
    <w:rsid w:val="2FC9738D"/>
    <w:rsid w:val="2FD81494"/>
    <w:rsid w:val="2FD85881"/>
    <w:rsid w:val="2FDC50C2"/>
    <w:rsid w:val="2FFD6AE9"/>
    <w:rsid w:val="300F55C1"/>
    <w:rsid w:val="30227844"/>
    <w:rsid w:val="305578D3"/>
    <w:rsid w:val="305D0891"/>
    <w:rsid w:val="30662536"/>
    <w:rsid w:val="30AB45EC"/>
    <w:rsid w:val="30B76A45"/>
    <w:rsid w:val="30D16BFC"/>
    <w:rsid w:val="30E6792F"/>
    <w:rsid w:val="314F64C9"/>
    <w:rsid w:val="315A1D70"/>
    <w:rsid w:val="31763CAB"/>
    <w:rsid w:val="319D6124"/>
    <w:rsid w:val="31A77D06"/>
    <w:rsid w:val="31B30E11"/>
    <w:rsid w:val="31C81106"/>
    <w:rsid w:val="31FC48D1"/>
    <w:rsid w:val="320A6A9C"/>
    <w:rsid w:val="321A34B8"/>
    <w:rsid w:val="321D78C7"/>
    <w:rsid w:val="32244CBC"/>
    <w:rsid w:val="324F7CAC"/>
    <w:rsid w:val="325C0BFC"/>
    <w:rsid w:val="32761D1E"/>
    <w:rsid w:val="3283040C"/>
    <w:rsid w:val="32985C2F"/>
    <w:rsid w:val="32B6518A"/>
    <w:rsid w:val="32C90D7C"/>
    <w:rsid w:val="32D70FB8"/>
    <w:rsid w:val="32FB01FE"/>
    <w:rsid w:val="330548B4"/>
    <w:rsid w:val="330B0646"/>
    <w:rsid w:val="33180DC1"/>
    <w:rsid w:val="33462D42"/>
    <w:rsid w:val="335A437D"/>
    <w:rsid w:val="33985D28"/>
    <w:rsid w:val="33BB2DED"/>
    <w:rsid w:val="33BD0032"/>
    <w:rsid w:val="33CD7371"/>
    <w:rsid w:val="33E732AE"/>
    <w:rsid w:val="341C744B"/>
    <w:rsid w:val="347824A4"/>
    <w:rsid w:val="34920822"/>
    <w:rsid w:val="34A7737A"/>
    <w:rsid w:val="34AB6251"/>
    <w:rsid w:val="34AE6700"/>
    <w:rsid w:val="34D72AC2"/>
    <w:rsid w:val="34E11690"/>
    <w:rsid w:val="34E36FC6"/>
    <w:rsid w:val="34FA4A88"/>
    <w:rsid w:val="350458C4"/>
    <w:rsid w:val="351B5962"/>
    <w:rsid w:val="351C450D"/>
    <w:rsid w:val="3567751A"/>
    <w:rsid w:val="35847A55"/>
    <w:rsid w:val="358F45F6"/>
    <w:rsid w:val="35A83135"/>
    <w:rsid w:val="35D70E4A"/>
    <w:rsid w:val="35F72815"/>
    <w:rsid w:val="364C751F"/>
    <w:rsid w:val="367E20F8"/>
    <w:rsid w:val="367F6B6A"/>
    <w:rsid w:val="368022F9"/>
    <w:rsid w:val="3687446C"/>
    <w:rsid w:val="36AD7C7D"/>
    <w:rsid w:val="36B01C3C"/>
    <w:rsid w:val="36BA7835"/>
    <w:rsid w:val="36BD2768"/>
    <w:rsid w:val="36FC4732"/>
    <w:rsid w:val="37627525"/>
    <w:rsid w:val="37AC171F"/>
    <w:rsid w:val="37F22EA6"/>
    <w:rsid w:val="38055B74"/>
    <w:rsid w:val="381766B1"/>
    <w:rsid w:val="383C2E91"/>
    <w:rsid w:val="38494CA3"/>
    <w:rsid w:val="387C680B"/>
    <w:rsid w:val="3884167B"/>
    <w:rsid w:val="389C0DCE"/>
    <w:rsid w:val="38CA2D51"/>
    <w:rsid w:val="38F66E96"/>
    <w:rsid w:val="392408F9"/>
    <w:rsid w:val="393A69E5"/>
    <w:rsid w:val="39467778"/>
    <w:rsid w:val="3966704A"/>
    <w:rsid w:val="39A675F4"/>
    <w:rsid w:val="39BA0CDF"/>
    <w:rsid w:val="39BF67CA"/>
    <w:rsid w:val="39C32905"/>
    <w:rsid w:val="39CC38E0"/>
    <w:rsid w:val="39E94E9D"/>
    <w:rsid w:val="39F141FB"/>
    <w:rsid w:val="3A1F6728"/>
    <w:rsid w:val="3ACD6578"/>
    <w:rsid w:val="3AF329CC"/>
    <w:rsid w:val="3B4B4C78"/>
    <w:rsid w:val="3B5702DB"/>
    <w:rsid w:val="3B984C02"/>
    <w:rsid w:val="3BA66049"/>
    <w:rsid w:val="3BC5587E"/>
    <w:rsid w:val="3BDB14FB"/>
    <w:rsid w:val="3BF847AA"/>
    <w:rsid w:val="3C005DDD"/>
    <w:rsid w:val="3C4F5B68"/>
    <w:rsid w:val="3C7033C3"/>
    <w:rsid w:val="3CBF1F00"/>
    <w:rsid w:val="3CE90A76"/>
    <w:rsid w:val="3CF27A07"/>
    <w:rsid w:val="3D1D25A1"/>
    <w:rsid w:val="3D1F78F1"/>
    <w:rsid w:val="3D3232A4"/>
    <w:rsid w:val="3D38017C"/>
    <w:rsid w:val="3D675BD1"/>
    <w:rsid w:val="3D7D569A"/>
    <w:rsid w:val="3D9E511C"/>
    <w:rsid w:val="3DBF54B3"/>
    <w:rsid w:val="3DC259D8"/>
    <w:rsid w:val="3E2D0BBF"/>
    <w:rsid w:val="3E8C0A5B"/>
    <w:rsid w:val="3E972C63"/>
    <w:rsid w:val="3EC51EA2"/>
    <w:rsid w:val="3EC76784"/>
    <w:rsid w:val="3EE3FD42"/>
    <w:rsid w:val="3EFA4B60"/>
    <w:rsid w:val="3F380927"/>
    <w:rsid w:val="3F496F72"/>
    <w:rsid w:val="3FA52D41"/>
    <w:rsid w:val="3FA96724"/>
    <w:rsid w:val="3FAF7D08"/>
    <w:rsid w:val="3FCC223A"/>
    <w:rsid w:val="4008400A"/>
    <w:rsid w:val="40201FA7"/>
    <w:rsid w:val="40261FBD"/>
    <w:rsid w:val="402640BE"/>
    <w:rsid w:val="40313FD6"/>
    <w:rsid w:val="40535AF5"/>
    <w:rsid w:val="408C59C3"/>
    <w:rsid w:val="40A60851"/>
    <w:rsid w:val="40B833FC"/>
    <w:rsid w:val="40F057B7"/>
    <w:rsid w:val="41020E8D"/>
    <w:rsid w:val="410B677F"/>
    <w:rsid w:val="41364AA2"/>
    <w:rsid w:val="4165706C"/>
    <w:rsid w:val="416B73F4"/>
    <w:rsid w:val="41A47332"/>
    <w:rsid w:val="41A77C7D"/>
    <w:rsid w:val="41C63965"/>
    <w:rsid w:val="41CE03DF"/>
    <w:rsid w:val="424E539C"/>
    <w:rsid w:val="42923E31"/>
    <w:rsid w:val="42B6125D"/>
    <w:rsid w:val="42D8665C"/>
    <w:rsid w:val="4305497A"/>
    <w:rsid w:val="43057670"/>
    <w:rsid w:val="43125EE3"/>
    <w:rsid w:val="437E1AE2"/>
    <w:rsid w:val="43866271"/>
    <w:rsid w:val="43995544"/>
    <w:rsid w:val="43AE4585"/>
    <w:rsid w:val="43C960A7"/>
    <w:rsid w:val="44283ACF"/>
    <w:rsid w:val="4433608E"/>
    <w:rsid w:val="444C0891"/>
    <w:rsid w:val="44606266"/>
    <w:rsid w:val="446B42D6"/>
    <w:rsid w:val="44780D10"/>
    <w:rsid w:val="4487656B"/>
    <w:rsid w:val="44965F8D"/>
    <w:rsid w:val="44C761FA"/>
    <w:rsid w:val="44F76BF9"/>
    <w:rsid w:val="450532E7"/>
    <w:rsid w:val="45103C71"/>
    <w:rsid w:val="451072CE"/>
    <w:rsid w:val="454666C1"/>
    <w:rsid w:val="454E2CA6"/>
    <w:rsid w:val="45684E4F"/>
    <w:rsid w:val="4585533A"/>
    <w:rsid w:val="458B29F5"/>
    <w:rsid w:val="45BF5C60"/>
    <w:rsid w:val="45C033BF"/>
    <w:rsid w:val="45C41890"/>
    <w:rsid w:val="45C97A3D"/>
    <w:rsid w:val="45CC6AB6"/>
    <w:rsid w:val="45E542A5"/>
    <w:rsid w:val="45F2080E"/>
    <w:rsid w:val="46181F44"/>
    <w:rsid w:val="46202B6C"/>
    <w:rsid w:val="4643483C"/>
    <w:rsid w:val="465307CF"/>
    <w:rsid w:val="465C22CC"/>
    <w:rsid w:val="46663934"/>
    <w:rsid w:val="46CF4E1D"/>
    <w:rsid w:val="471270E6"/>
    <w:rsid w:val="472139F7"/>
    <w:rsid w:val="4729099B"/>
    <w:rsid w:val="47330675"/>
    <w:rsid w:val="47F701FF"/>
    <w:rsid w:val="481541E9"/>
    <w:rsid w:val="482B0575"/>
    <w:rsid w:val="48391793"/>
    <w:rsid w:val="489D48DA"/>
    <w:rsid w:val="489E26FF"/>
    <w:rsid w:val="48B5513F"/>
    <w:rsid w:val="48D07BEB"/>
    <w:rsid w:val="48EC498B"/>
    <w:rsid w:val="49000486"/>
    <w:rsid w:val="4922526C"/>
    <w:rsid w:val="49481230"/>
    <w:rsid w:val="494D307B"/>
    <w:rsid w:val="495B5A5B"/>
    <w:rsid w:val="49634992"/>
    <w:rsid w:val="499609D5"/>
    <w:rsid w:val="499674F1"/>
    <w:rsid w:val="49994F0F"/>
    <w:rsid w:val="49A4641C"/>
    <w:rsid w:val="49B27D90"/>
    <w:rsid w:val="49BD7C03"/>
    <w:rsid w:val="49EB2C43"/>
    <w:rsid w:val="49FB3E1D"/>
    <w:rsid w:val="49FE4710"/>
    <w:rsid w:val="4A0A1AB7"/>
    <w:rsid w:val="4A206C07"/>
    <w:rsid w:val="4A2465B7"/>
    <w:rsid w:val="4A2E6F50"/>
    <w:rsid w:val="4A352EFE"/>
    <w:rsid w:val="4A8440A1"/>
    <w:rsid w:val="4AAD2ECC"/>
    <w:rsid w:val="4ABE537F"/>
    <w:rsid w:val="4AC51F73"/>
    <w:rsid w:val="4AF44365"/>
    <w:rsid w:val="4AF974AC"/>
    <w:rsid w:val="4B08477A"/>
    <w:rsid w:val="4B5C320E"/>
    <w:rsid w:val="4B605255"/>
    <w:rsid w:val="4B6C2A59"/>
    <w:rsid w:val="4B822491"/>
    <w:rsid w:val="4B8B08BE"/>
    <w:rsid w:val="4B9408BD"/>
    <w:rsid w:val="4BA70997"/>
    <w:rsid w:val="4BC64B63"/>
    <w:rsid w:val="4BF84298"/>
    <w:rsid w:val="4C310BFF"/>
    <w:rsid w:val="4C68129A"/>
    <w:rsid w:val="4C8C68B6"/>
    <w:rsid w:val="4CA37CC7"/>
    <w:rsid w:val="4CA94D5F"/>
    <w:rsid w:val="4CBE3E4B"/>
    <w:rsid w:val="4D0D7B3A"/>
    <w:rsid w:val="4D1A090F"/>
    <w:rsid w:val="4D43205A"/>
    <w:rsid w:val="4D5A1183"/>
    <w:rsid w:val="4D5C699D"/>
    <w:rsid w:val="4D6555F4"/>
    <w:rsid w:val="4D711CF7"/>
    <w:rsid w:val="4D98521A"/>
    <w:rsid w:val="4DA41001"/>
    <w:rsid w:val="4DA52FC9"/>
    <w:rsid w:val="4DCB6600"/>
    <w:rsid w:val="4DE261E8"/>
    <w:rsid w:val="4DEC6C7C"/>
    <w:rsid w:val="4DF92AF7"/>
    <w:rsid w:val="4E0D6D6F"/>
    <w:rsid w:val="4E2F581A"/>
    <w:rsid w:val="4E476897"/>
    <w:rsid w:val="4E85613A"/>
    <w:rsid w:val="4E9F713D"/>
    <w:rsid w:val="4EAD59C3"/>
    <w:rsid w:val="4EB21F5E"/>
    <w:rsid w:val="4EBE082B"/>
    <w:rsid w:val="4ECF2CC6"/>
    <w:rsid w:val="4ED27BA4"/>
    <w:rsid w:val="4EED2571"/>
    <w:rsid w:val="4EFF74C0"/>
    <w:rsid w:val="4F0253B2"/>
    <w:rsid w:val="4F151B7E"/>
    <w:rsid w:val="4F90601B"/>
    <w:rsid w:val="4FB027CD"/>
    <w:rsid w:val="4FC55A3B"/>
    <w:rsid w:val="4FC82269"/>
    <w:rsid w:val="4FF65A05"/>
    <w:rsid w:val="50122792"/>
    <w:rsid w:val="502B5F18"/>
    <w:rsid w:val="5037148D"/>
    <w:rsid w:val="50710B1A"/>
    <w:rsid w:val="50742DED"/>
    <w:rsid w:val="508256A9"/>
    <w:rsid w:val="50936619"/>
    <w:rsid w:val="50B440D9"/>
    <w:rsid w:val="50E07817"/>
    <w:rsid w:val="51064A99"/>
    <w:rsid w:val="51146CA3"/>
    <w:rsid w:val="51301087"/>
    <w:rsid w:val="513F21C4"/>
    <w:rsid w:val="51840F08"/>
    <w:rsid w:val="51877A07"/>
    <w:rsid w:val="51AD6319"/>
    <w:rsid w:val="51B22EA9"/>
    <w:rsid w:val="51B841CE"/>
    <w:rsid w:val="51B9526D"/>
    <w:rsid w:val="51E833A2"/>
    <w:rsid w:val="520854D7"/>
    <w:rsid w:val="52107BB9"/>
    <w:rsid w:val="52175CCF"/>
    <w:rsid w:val="52241248"/>
    <w:rsid w:val="5245060A"/>
    <w:rsid w:val="524A7BAA"/>
    <w:rsid w:val="524D1471"/>
    <w:rsid w:val="526317C7"/>
    <w:rsid w:val="5265537C"/>
    <w:rsid w:val="529275D7"/>
    <w:rsid w:val="52936885"/>
    <w:rsid w:val="5297615C"/>
    <w:rsid w:val="52995C69"/>
    <w:rsid w:val="52F5285A"/>
    <w:rsid w:val="533A4B08"/>
    <w:rsid w:val="536E0896"/>
    <w:rsid w:val="53973623"/>
    <w:rsid w:val="53A509B0"/>
    <w:rsid w:val="54257F30"/>
    <w:rsid w:val="542B486E"/>
    <w:rsid w:val="543621D9"/>
    <w:rsid w:val="543F0EC2"/>
    <w:rsid w:val="549538C0"/>
    <w:rsid w:val="549A242A"/>
    <w:rsid w:val="54AA4E59"/>
    <w:rsid w:val="54D65E24"/>
    <w:rsid w:val="54ED56A1"/>
    <w:rsid w:val="54FD725C"/>
    <w:rsid w:val="55184FBB"/>
    <w:rsid w:val="55B744B9"/>
    <w:rsid w:val="55B9530C"/>
    <w:rsid w:val="55C736A6"/>
    <w:rsid w:val="55F729A6"/>
    <w:rsid w:val="56076787"/>
    <w:rsid w:val="5626429A"/>
    <w:rsid w:val="563C116A"/>
    <w:rsid w:val="565C0C18"/>
    <w:rsid w:val="565C2C95"/>
    <w:rsid w:val="56655E0A"/>
    <w:rsid w:val="567166DD"/>
    <w:rsid w:val="569B7213"/>
    <w:rsid w:val="56AC0D97"/>
    <w:rsid w:val="56B57F3A"/>
    <w:rsid w:val="56CF2432"/>
    <w:rsid w:val="56DF7EDF"/>
    <w:rsid w:val="56F00B7A"/>
    <w:rsid w:val="56F7694E"/>
    <w:rsid w:val="57055E96"/>
    <w:rsid w:val="571676E2"/>
    <w:rsid w:val="57173227"/>
    <w:rsid w:val="574E2B55"/>
    <w:rsid w:val="57522827"/>
    <w:rsid w:val="575B7358"/>
    <w:rsid w:val="575D317D"/>
    <w:rsid w:val="577C54D1"/>
    <w:rsid w:val="57800C6A"/>
    <w:rsid w:val="57A03C03"/>
    <w:rsid w:val="57AF520A"/>
    <w:rsid w:val="57CC2F71"/>
    <w:rsid w:val="57DA647F"/>
    <w:rsid w:val="580D237F"/>
    <w:rsid w:val="582226FB"/>
    <w:rsid w:val="58301089"/>
    <w:rsid w:val="58372CDC"/>
    <w:rsid w:val="583F4F10"/>
    <w:rsid w:val="58457D81"/>
    <w:rsid w:val="585432B1"/>
    <w:rsid w:val="586D53E4"/>
    <w:rsid w:val="58817556"/>
    <w:rsid w:val="58845A85"/>
    <w:rsid w:val="588A4D96"/>
    <w:rsid w:val="588B5C7C"/>
    <w:rsid w:val="58C601BB"/>
    <w:rsid w:val="58D13D57"/>
    <w:rsid w:val="590B3CAB"/>
    <w:rsid w:val="591311CA"/>
    <w:rsid w:val="591B68FD"/>
    <w:rsid w:val="591E012B"/>
    <w:rsid w:val="592657FA"/>
    <w:rsid w:val="59410279"/>
    <w:rsid w:val="594643AF"/>
    <w:rsid w:val="59800DCC"/>
    <w:rsid w:val="59886F98"/>
    <w:rsid w:val="59A22463"/>
    <w:rsid w:val="59B2225D"/>
    <w:rsid w:val="59C569FB"/>
    <w:rsid w:val="59CE5763"/>
    <w:rsid w:val="59D10CF8"/>
    <w:rsid w:val="59E340A3"/>
    <w:rsid w:val="59E832FB"/>
    <w:rsid w:val="5A041620"/>
    <w:rsid w:val="5A520878"/>
    <w:rsid w:val="5A527D68"/>
    <w:rsid w:val="5A556AC5"/>
    <w:rsid w:val="5A6D7CA6"/>
    <w:rsid w:val="5A7C2608"/>
    <w:rsid w:val="5ACE2F47"/>
    <w:rsid w:val="5B210E8B"/>
    <w:rsid w:val="5B38488E"/>
    <w:rsid w:val="5B6B033F"/>
    <w:rsid w:val="5B8C1629"/>
    <w:rsid w:val="5B9E28D8"/>
    <w:rsid w:val="5BBE6B26"/>
    <w:rsid w:val="5BD104E2"/>
    <w:rsid w:val="5BD2015F"/>
    <w:rsid w:val="5C652780"/>
    <w:rsid w:val="5C9230A5"/>
    <w:rsid w:val="5CD06A31"/>
    <w:rsid w:val="5CD60709"/>
    <w:rsid w:val="5D260022"/>
    <w:rsid w:val="5D3813C6"/>
    <w:rsid w:val="5D6723E9"/>
    <w:rsid w:val="5D7A201F"/>
    <w:rsid w:val="5D7B166E"/>
    <w:rsid w:val="5D857934"/>
    <w:rsid w:val="5DDD2DD6"/>
    <w:rsid w:val="5DFD5E92"/>
    <w:rsid w:val="5E434FE0"/>
    <w:rsid w:val="5E6E7DC6"/>
    <w:rsid w:val="5E8805F2"/>
    <w:rsid w:val="5EA90260"/>
    <w:rsid w:val="5EB12945"/>
    <w:rsid w:val="5EB271FB"/>
    <w:rsid w:val="5EB53221"/>
    <w:rsid w:val="5EBD5FD7"/>
    <w:rsid w:val="5EC514D1"/>
    <w:rsid w:val="5EE02B86"/>
    <w:rsid w:val="5EEF3EE8"/>
    <w:rsid w:val="5EFF26EA"/>
    <w:rsid w:val="5F2E7191"/>
    <w:rsid w:val="5F3E64A6"/>
    <w:rsid w:val="5F79380A"/>
    <w:rsid w:val="5F91764E"/>
    <w:rsid w:val="5FBA1042"/>
    <w:rsid w:val="5FE97091"/>
    <w:rsid w:val="5FF23D12"/>
    <w:rsid w:val="600A24AC"/>
    <w:rsid w:val="601D3763"/>
    <w:rsid w:val="604A38C3"/>
    <w:rsid w:val="60666995"/>
    <w:rsid w:val="60885401"/>
    <w:rsid w:val="608E6C25"/>
    <w:rsid w:val="60A05DB8"/>
    <w:rsid w:val="60A912FD"/>
    <w:rsid w:val="60B44FA7"/>
    <w:rsid w:val="60BD1165"/>
    <w:rsid w:val="60D817B8"/>
    <w:rsid w:val="60FC1808"/>
    <w:rsid w:val="613F75A1"/>
    <w:rsid w:val="614A3AE7"/>
    <w:rsid w:val="6157244E"/>
    <w:rsid w:val="61713C26"/>
    <w:rsid w:val="6201524A"/>
    <w:rsid w:val="6202633D"/>
    <w:rsid w:val="621F4226"/>
    <w:rsid w:val="622B4DEC"/>
    <w:rsid w:val="62317B2A"/>
    <w:rsid w:val="624B7A53"/>
    <w:rsid w:val="625B18E7"/>
    <w:rsid w:val="626D49BC"/>
    <w:rsid w:val="629F1322"/>
    <w:rsid w:val="62A6404C"/>
    <w:rsid w:val="62B63D0D"/>
    <w:rsid w:val="62DC7C4D"/>
    <w:rsid w:val="62DE73AE"/>
    <w:rsid w:val="62F94790"/>
    <w:rsid w:val="63120DBD"/>
    <w:rsid w:val="63865074"/>
    <w:rsid w:val="639E2552"/>
    <w:rsid w:val="63A5099A"/>
    <w:rsid w:val="63AE0CAC"/>
    <w:rsid w:val="63BB391F"/>
    <w:rsid w:val="63BE2C65"/>
    <w:rsid w:val="63C24B8C"/>
    <w:rsid w:val="63F0101B"/>
    <w:rsid w:val="63F84591"/>
    <w:rsid w:val="641B4ABF"/>
    <w:rsid w:val="642F4262"/>
    <w:rsid w:val="645008F7"/>
    <w:rsid w:val="645C3A6D"/>
    <w:rsid w:val="64BA6D27"/>
    <w:rsid w:val="64D0570D"/>
    <w:rsid w:val="64D14BD8"/>
    <w:rsid w:val="65004148"/>
    <w:rsid w:val="65117406"/>
    <w:rsid w:val="651F4EF8"/>
    <w:rsid w:val="6524364D"/>
    <w:rsid w:val="65843EC2"/>
    <w:rsid w:val="658C16B5"/>
    <w:rsid w:val="659040E5"/>
    <w:rsid w:val="659D13DC"/>
    <w:rsid w:val="65C766C0"/>
    <w:rsid w:val="65CA02C7"/>
    <w:rsid w:val="66071646"/>
    <w:rsid w:val="66116E60"/>
    <w:rsid w:val="663A31CC"/>
    <w:rsid w:val="66501A2F"/>
    <w:rsid w:val="666736E1"/>
    <w:rsid w:val="666E7DDD"/>
    <w:rsid w:val="66770B3F"/>
    <w:rsid w:val="66AA1DEC"/>
    <w:rsid w:val="66BA1585"/>
    <w:rsid w:val="66C903EE"/>
    <w:rsid w:val="66E459E8"/>
    <w:rsid w:val="66EE2EDC"/>
    <w:rsid w:val="670E5CA3"/>
    <w:rsid w:val="671C5800"/>
    <w:rsid w:val="6723115C"/>
    <w:rsid w:val="672E3C05"/>
    <w:rsid w:val="673375A1"/>
    <w:rsid w:val="673706A5"/>
    <w:rsid w:val="673B6C9C"/>
    <w:rsid w:val="677D79F4"/>
    <w:rsid w:val="67874DD9"/>
    <w:rsid w:val="67A0045A"/>
    <w:rsid w:val="67A131AD"/>
    <w:rsid w:val="67A8304A"/>
    <w:rsid w:val="67B05CAB"/>
    <w:rsid w:val="67C37082"/>
    <w:rsid w:val="67DA0714"/>
    <w:rsid w:val="680D402A"/>
    <w:rsid w:val="68206C6F"/>
    <w:rsid w:val="682134A5"/>
    <w:rsid w:val="684156CB"/>
    <w:rsid w:val="684775CF"/>
    <w:rsid w:val="684C4113"/>
    <w:rsid w:val="68565BC8"/>
    <w:rsid w:val="686F1ADE"/>
    <w:rsid w:val="689B5404"/>
    <w:rsid w:val="68A019A2"/>
    <w:rsid w:val="68DC136F"/>
    <w:rsid w:val="68F56A69"/>
    <w:rsid w:val="69350052"/>
    <w:rsid w:val="69573D15"/>
    <w:rsid w:val="69946324"/>
    <w:rsid w:val="69B61393"/>
    <w:rsid w:val="6A034BCC"/>
    <w:rsid w:val="6A2451B3"/>
    <w:rsid w:val="6A323753"/>
    <w:rsid w:val="6A6523FF"/>
    <w:rsid w:val="6A866E33"/>
    <w:rsid w:val="6A8B04FB"/>
    <w:rsid w:val="6A9B2433"/>
    <w:rsid w:val="6AB94EAE"/>
    <w:rsid w:val="6AC55C3C"/>
    <w:rsid w:val="6AC76A29"/>
    <w:rsid w:val="6AE571CC"/>
    <w:rsid w:val="6B2318A5"/>
    <w:rsid w:val="6B2D21E8"/>
    <w:rsid w:val="6B42779D"/>
    <w:rsid w:val="6B63551B"/>
    <w:rsid w:val="6B6A0F85"/>
    <w:rsid w:val="6B764ABA"/>
    <w:rsid w:val="6BB76D27"/>
    <w:rsid w:val="6BDC68C9"/>
    <w:rsid w:val="6BF65071"/>
    <w:rsid w:val="6C0C4EC6"/>
    <w:rsid w:val="6C5E66E4"/>
    <w:rsid w:val="6C63265B"/>
    <w:rsid w:val="6C746607"/>
    <w:rsid w:val="6CAC407C"/>
    <w:rsid w:val="6CAF0915"/>
    <w:rsid w:val="6CD4550D"/>
    <w:rsid w:val="6D15189C"/>
    <w:rsid w:val="6D3474E7"/>
    <w:rsid w:val="6D3E6FC1"/>
    <w:rsid w:val="6D5808C0"/>
    <w:rsid w:val="6D5E5ACF"/>
    <w:rsid w:val="6D983849"/>
    <w:rsid w:val="6DBE5BDC"/>
    <w:rsid w:val="6DC837D4"/>
    <w:rsid w:val="6DDA149B"/>
    <w:rsid w:val="6DEF67E0"/>
    <w:rsid w:val="6DFC433F"/>
    <w:rsid w:val="6E085647"/>
    <w:rsid w:val="6E377B4F"/>
    <w:rsid w:val="6E494F0E"/>
    <w:rsid w:val="6E53414A"/>
    <w:rsid w:val="6E59169C"/>
    <w:rsid w:val="6E717C5B"/>
    <w:rsid w:val="6EA8682E"/>
    <w:rsid w:val="6EAF3AA9"/>
    <w:rsid w:val="6EC42A9F"/>
    <w:rsid w:val="6ECE754E"/>
    <w:rsid w:val="6EDB21B4"/>
    <w:rsid w:val="6EED0BBF"/>
    <w:rsid w:val="6EF01A8D"/>
    <w:rsid w:val="6F004932"/>
    <w:rsid w:val="6F49581E"/>
    <w:rsid w:val="6F4E50B8"/>
    <w:rsid w:val="6F612C56"/>
    <w:rsid w:val="6F8D6C0B"/>
    <w:rsid w:val="6FB737D6"/>
    <w:rsid w:val="6FB83D4F"/>
    <w:rsid w:val="6FE73CA6"/>
    <w:rsid w:val="7004796F"/>
    <w:rsid w:val="700F0661"/>
    <w:rsid w:val="701E29E5"/>
    <w:rsid w:val="70224E29"/>
    <w:rsid w:val="7038406F"/>
    <w:rsid w:val="703E5A05"/>
    <w:rsid w:val="708F799C"/>
    <w:rsid w:val="7092596A"/>
    <w:rsid w:val="709B574F"/>
    <w:rsid w:val="70A8154C"/>
    <w:rsid w:val="70D0124D"/>
    <w:rsid w:val="70F651C1"/>
    <w:rsid w:val="71415B27"/>
    <w:rsid w:val="71420036"/>
    <w:rsid w:val="718C2E34"/>
    <w:rsid w:val="718C67DA"/>
    <w:rsid w:val="718D6EAD"/>
    <w:rsid w:val="71B61E8E"/>
    <w:rsid w:val="71CF7F87"/>
    <w:rsid w:val="71EE18D9"/>
    <w:rsid w:val="72745FAE"/>
    <w:rsid w:val="727D5429"/>
    <w:rsid w:val="73421696"/>
    <w:rsid w:val="73637988"/>
    <w:rsid w:val="73695B0E"/>
    <w:rsid w:val="7391704E"/>
    <w:rsid w:val="739C51D6"/>
    <w:rsid w:val="74126EEC"/>
    <w:rsid w:val="741661E7"/>
    <w:rsid w:val="742F6985"/>
    <w:rsid w:val="744F266B"/>
    <w:rsid w:val="745E34DE"/>
    <w:rsid w:val="747867DE"/>
    <w:rsid w:val="74A464C8"/>
    <w:rsid w:val="74AB717C"/>
    <w:rsid w:val="74D45EED"/>
    <w:rsid w:val="74DA27BD"/>
    <w:rsid w:val="74DF3642"/>
    <w:rsid w:val="74E42279"/>
    <w:rsid w:val="74ED3036"/>
    <w:rsid w:val="74F77F72"/>
    <w:rsid w:val="750676B8"/>
    <w:rsid w:val="7556718C"/>
    <w:rsid w:val="75954EFE"/>
    <w:rsid w:val="75A30C0C"/>
    <w:rsid w:val="75B66C1C"/>
    <w:rsid w:val="75BF6A28"/>
    <w:rsid w:val="75E638AF"/>
    <w:rsid w:val="75F47D10"/>
    <w:rsid w:val="75F67A0F"/>
    <w:rsid w:val="762962F7"/>
    <w:rsid w:val="763B2AAB"/>
    <w:rsid w:val="76626A58"/>
    <w:rsid w:val="76627782"/>
    <w:rsid w:val="766459CF"/>
    <w:rsid w:val="767B5BCB"/>
    <w:rsid w:val="76982049"/>
    <w:rsid w:val="76F222E2"/>
    <w:rsid w:val="770B019B"/>
    <w:rsid w:val="770F52D5"/>
    <w:rsid w:val="772358F7"/>
    <w:rsid w:val="773F4B87"/>
    <w:rsid w:val="77795114"/>
    <w:rsid w:val="778478FF"/>
    <w:rsid w:val="77F05AA7"/>
    <w:rsid w:val="77FF2C9C"/>
    <w:rsid w:val="780027DA"/>
    <w:rsid w:val="781D251D"/>
    <w:rsid w:val="781D402A"/>
    <w:rsid w:val="7873235E"/>
    <w:rsid w:val="788C3A11"/>
    <w:rsid w:val="788F5CFC"/>
    <w:rsid w:val="78B529C8"/>
    <w:rsid w:val="78FE50D8"/>
    <w:rsid w:val="79544E1B"/>
    <w:rsid w:val="798C74B6"/>
    <w:rsid w:val="79AB6B00"/>
    <w:rsid w:val="79B72D39"/>
    <w:rsid w:val="79D1561E"/>
    <w:rsid w:val="79E311A7"/>
    <w:rsid w:val="79F30F4E"/>
    <w:rsid w:val="7A204B79"/>
    <w:rsid w:val="7A367C5D"/>
    <w:rsid w:val="7A695687"/>
    <w:rsid w:val="7A9A7E5A"/>
    <w:rsid w:val="7AA472A7"/>
    <w:rsid w:val="7AC4047E"/>
    <w:rsid w:val="7AC55C31"/>
    <w:rsid w:val="7AE3547A"/>
    <w:rsid w:val="7AE91805"/>
    <w:rsid w:val="7AED4E8D"/>
    <w:rsid w:val="7AFC25D0"/>
    <w:rsid w:val="7B256F30"/>
    <w:rsid w:val="7B5537EB"/>
    <w:rsid w:val="7B597B69"/>
    <w:rsid w:val="7BC26AB9"/>
    <w:rsid w:val="7BF05F95"/>
    <w:rsid w:val="7C2A143B"/>
    <w:rsid w:val="7C4302E8"/>
    <w:rsid w:val="7C4A4557"/>
    <w:rsid w:val="7C573B2D"/>
    <w:rsid w:val="7C6F82B2"/>
    <w:rsid w:val="7C774DD2"/>
    <w:rsid w:val="7C9408C4"/>
    <w:rsid w:val="7C9A1801"/>
    <w:rsid w:val="7CA57409"/>
    <w:rsid w:val="7CB25F63"/>
    <w:rsid w:val="7CB40D61"/>
    <w:rsid w:val="7CC35A60"/>
    <w:rsid w:val="7CC72903"/>
    <w:rsid w:val="7CCF0426"/>
    <w:rsid w:val="7CD97C76"/>
    <w:rsid w:val="7CE838DE"/>
    <w:rsid w:val="7D0C3E00"/>
    <w:rsid w:val="7D414D27"/>
    <w:rsid w:val="7D480ABD"/>
    <w:rsid w:val="7D4E4EB1"/>
    <w:rsid w:val="7D5A5F41"/>
    <w:rsid w:val="7D5F29F6"/>
    <w:rsid w:val="7D9773BB"/>
    <w:rsid w:val="7D990FB1"/>
    <w:rsid w:val="7DA522F0"/>
    <w:rsid w:val="7DAB7C5F"/>
    <w:rsid w:val="7DBA4A5D"/>
    <w:rsid w:val="7DBF1C14"/>
    <w:rsid w:val="7DC51F85"/>
    <w:rsid w:val="7DC6163D"/>
    <w:rsid w:val="7DF61FA0"/>
    <w:rsid w:val="7E200219"/>
    <w:rsid w:val="7E7D3984"/>
    <w:rsid w:val="7EA36604"/>
    <w:rsid w:val="7EAD7ED0"/>
    <w:rsid w:val="7EB144FB"/>
    <w:rsid w:val="7F045C0C"/>
    <w:rsid w:val="7F0C6041"/>
    <w:rsid w:val="7F326D7D"/>
    <w:rsid w:val="7F482A78"/>
    <w:rsid w:val="7F502BE5"/>
    <w:rsid w:val="7F5A3D53"/>
    <w:rsid w:val="7F5B2998"/>
    <w:rsid w:val="7F750BD0"/>
    <w:rsid w:val="7F8B5033"/>
    <w:rsid w:val="7F9A74E3"/>
    <w:rsid w:val="7FA1709B"/>
    <w:rsid w:val="7FE12EB2"/>
    <w:rsid w:val="BDAF3A6E"/>
    <w:rsid w:val="DFDF6AB4"/>
    <w:rsid w:val="EFDF7C6B"/>
    <w:rsid w:val="FF6EE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00" w:firstLineChars="200"/>
      <w:jc w:val="both"/>
    </w:pPr>
    <w:rPr>
      <w:rFonts w:ascii="迷你简粗仿宋" w:hAnsi="迷你简粗仿宋" w:eastAsia="迷你简仿宋" w:cs="Arial"/>
      <w:kern w:val="2"/>
      <w:sz w:val="32"/>
      <w:szCs w:val="22"/>
      <w:lang w:val="en-US" w:eastAsia="zh-CN" w:bidi="ar-SA"/>
    </w:rPr>
  </w:style>
  <w:style w:type="paragraph" w:styleId="3">
    <w:name w:val="heading 1"/>
    <w:basedOn w:val="1"/>
    <w:next w:val="1"/>
    <w:link w:val="38"/>
    <w:qFormat/>
    <w:uiPriority w:val="0"/>
    <w:pPr>
      <w:keepNext/>
      <w:keepLines/>
      <w:spacing w:before="120" w:after="240" w:line="580" w:lineRule="exact"/>
      <w:ind w:firstLine="0" w:firstLineChars="0"/>
      <w:jc w:val="center"/>
      <w:outlineLvl w:val="0"/>
    </w:pPr>
    <w:rPr>
      <w:rFonts w:ascii="迷你简粗仿宋" w:hAnsi="迷你简粗仿宋" w:eastAsia="方正小标宋简体"/>
      <w:bCs/>
      <w:kern w:val="44"/>
      <w:sz w:val="36"/>
      <w:szCs w:val="44"/>
    </w:rPr>
  </w:style>
  <w:style w:type="paragraph" w:styleId="2">
    <w:name w:val="heading 2"/>
    <w:basedOn w:val="1"/>
    <w:next w:val="1"/>
    <w:unhideWhenUsed/>
    <w:qFormat/>
    <w:uiPriority w:val="0"/>
    <w:pPr>
      <w:keepNext/>
      <w:keepLines/>
      <w:widowControl w:val="0"/>
      <w:spacing w:before="240" w:after="240" w:line="580" w:lineRule="exact"/>
      <w:jc w:val="center"/>
      <w:outlineLvl w:val="1"/>
    </w:pPr>
    <w:rPr>
      <w:rFonts w:ascii="Cambria" w:hAnsi="Cambria" w:eastAsia="方正黑体_GBK" w:cs="Times New Roman"/>
      <w:bCs/>
      <w:spacing w:val="6"/>
      <w:szCs w:val="32"/>
    </w:rPr>
  </w:style>
  <w:style w:type="paragraph" w:styleId="4">
    <w:name w:val="heading 3"/>
    <w:basedOn w:val="1"/>
    <w:next w:val="1"/>
    <w:link w:val="35"/>
    <w:unhideWhenUsed/>
    <w:qFormat/>
    <w:uiPriority w:val="0"/>
    <w:pPr>
      <w:keepNext/>
      <w:keepLines/>
      <w:spacing w:before="60" w:after="60" w:line="580" w:lineRule="exact"/>
      <w:ind w:firstLine="640" w:firstLineChars="200"/>
      <w:jc w:val="left"/>
      <w:outlineLvl w:val="2"/>
    </w:pPr>
    <w:rPr>
      <w:rFonts w:ascii="Times New Roman" w:hAnsi="Times New Roman" w:eastAsia="方正黑体_GBK"/>
      <w:bCs/>
      <w:spacing w:val="6"/>
      <w:szCs w:val="32"/>
    </w:rPr>
  </w:style>
  <w:style w:type="paragraph" w:styleId="5">
    <w:name w:val="heading 4"/>
    <w:basedOn w:val="1"/>
    <w:next w:val="1"/>
    <w:link w:val="29"/>
    <w:unhideWhenUsed/>
    <w:qFormat/>
    <w:uiPriority w:val="0"/>
    <w:pPr>
      <w:keepNext/>
      <w:keepLines/>
      <w:widowControl w:val="0"/>
      <w:spacing w:before="0" w:after="0" w:line="580" w:lineRule="exact"/>
      <w:ind w:firstLine="640" w:firstLineChars="200"/>
      <w:outlineLvl w:val="3"/>
    </w:pPr>
    <w:rPr>
      <w:rFonts w:ascii="黑体" w:hAnsi="黑体" w:eastAsia="楷体_GB2312" w:cs="Times New Roman"/>
      <w:b/>
      <w:bCs/>
      <w:szCs w:val="28"/>
    </w:rPr>
  </w:style>
  <w:style w:type="paragraph" w:styleId="6">
    <w:name w:val="heading 5"/>
    <w:basedOn w:val="1"/>
    <w:next w:val="1"/>
    <w:link w:val="37"/>
    <w:unhideWhenUsed/>
    <w:qFormat/>
    <w:uiPriority w:val="0"/>
    <w:pPr>
      <w:keepNext/>
      <w:keepLines/>
      <w:spacing w:before="0" w:beforeLines="0" w:beforeAutospacing="0" w:after="0" w:afterLines="0" w:afterAutospacing="0" w:line="580" w:lineRule="exact"/>
      <w:ind w:firstLine="960" w:firstLineChars="200"/>
      <w:outlineLvl w:val="4"/>
    </w:pPr>
    <w:rPr>
      <w:b/>
      <w:sz w:val="32"/>
    </w:rPr>
  </w:style>
  <w:style w:type="paragraph" w:styleId="7">
    <w:name w:val="heading 6"/>
    <w:basedOn w:val="1"/>
    <w:next w:val="1"/>
    <w:link w:val="40"/>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1">
    <w:name w:val="Default Paragraph Font"/>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8">
    <w:name w:val="Normal Indent"/>
    <w:basedOn w:val="1"/>
    <w:qFormat/>
    <w:uiPriority w:val="0"/>
    <w:pPr>
      <w:spacing w:line="300" w:lineRule="auto"/>
      <w:ind w:firstLine="420"/>
    </w:pPr>
    <w:rPr>
      <w:rFonts w:ascii="Calibri" w:hAnsi="Calibri" w:eastAsia="宋体" w:cs="宋体"/>
      <w:szCs w:val="24"/>
    </w:rPr>
  </w:style>
  <w:style w:type="paragraph" w:styleId="9">
    <w:name w:val="Body Text"/>
    <w:basedOn w:val="1"/>
    <w:unhideWhenUsed/>
    <w:qFormat/>
    <w:uiPriority w:val="99"/>
    <w:pPr>
      <w:spacing w:after="120"/>
    </w:pPr>
  </w:style>
  <w:style w:type="paragraph" w:styleId="10">
    <w:name w:val="Body Text Indent"/>
    <w:basedOn w:val="1"/>
    <w:next w:val="1"/>
    <w:qFormat/>
    <w:uiPriority w:val="0"/>
    <w:pPr>
      <w:spacing w:after="120" w:afterLines="0" w:afterAutospacing="0"/>
      <w:ind w:left="420" w:leftChars="200"/>
    </w:pPr>
  </w:style>
  <w:style w:type="paragraph" w:styleId="11">
    <w:name w:val="toc 3"/>
    <w:basedOn w:val="1"/>
    <w:next w:val="1"/>
    <w:qFormat/>
    <w:uiPriority w:val="0"/>
    <w:pPr>
      <w:ind w:left="840" w:leftChars="400"/>
    </w:pPr>
  </w:style>
  <w:style w:type="paragraph" w:styleId="12">
    <w:name w:val="Date"/>
    <w:basedOn w:val="1"/>
    <w:next w:val="1"/>
    <w:unhideWhenUsed/>
    <w:qFormat/>
    <w:uiPriority w:val="99"/>
    <w:pPr>
      <w:ind w:left="2500" w:leftChars="2500"/>
    </w:pPr>
  </w:style>
  <w:style w:type="paragraph" w:styleId="13">
    <w:name w:val="Balloon Text"/>
    <w:basedOn w:val="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Body Text First Indent 2"/>
    <w:basedOn w:val="10"/>
    <w:next w:val="1"/>
    <w:qFormat/>
    <w:uiPriority w:val="0"/>
    <w:pPr>
      <w:ind w:left="0" w:leftChars="0" w:firstLine="420" w:firstLineChars="200"/>
    </w:pPr>
  </w:style>
  <w:style w:type="paragraph" w:styleId="16">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Title"/>
    <w:basedOn w:val="1"/>
    <w:next w:val="1"/>
    <w:link w:val="39"/>
    <w:qFormat/>
    <w:uiPriority w:val="0"/>
    <w:pPr>
      <w:spacing w:before="240" w:beforeLines="0" w:beforeAutospacing="0" w:after="60" w:afterLines="0" w:afterAutospacing="0"/>
      <w:jc w:val="center"/>
      <w:outlineLvl w:val="0"/>
    </w:pPr>
    <w:rPr>
      <w:rFonts w:ascii="Arial" w:hAnsi="Arial"/>
      <w:b/>
      <w:sz w:val="32"/>
    </w:rPr>
  </w:style>
  <w:style w:type="character" w:styleId="22">
    <w:name w:val="Strong"/>
    <w:basedOn w:val="21"/>
    <w:qFormat/>
    <w:uiPriority w:val="0"/>
    <w:rPr>
      <w:b/>
    </w:rPr>
  </w:style>
  <w:style w:type="character" w:styleId="23">
    <w:name w:val="FollowedHyperlink"/>
    <w:basedOn w:val="21"/>
    <w:qFormat/>
    <w:uiPriority w:val="0"/>
    <w:rPr>
      <w:color w:val="3F3F3F"/>
      <w:u w:val="none"/>
    </w:rPr>
  </w:style>
  <w:style w:type="character" w:styleId="24">
    <w:name w:val="Emphasis"/>
    <w:basedOn w:val="21"/>
    <w:qFormat/>
    <w:uiPriority w:val="0"/>
  </w:style>
  <w:style w:type="character" w:styleId="25">
    <w:name w:val="Hyperlink"/>
    <w:basedOn w:val="21"/>
    <w:qFormat/>
    <w:uiPriority w:val="0"/>
    <w:rPr>
      <w:color w:val="3F3F3F"/>
      <w:u w:val="non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8">
    <w:name w:val="Light List Accent 2"/>
    <w:basedOn w:val="26"/>
    <w:qFormat/>
    <w:uiPriority w:val="61"/>
    <w:tblPr>
      <w:tblBorders>
        <w:top w:val="single" w:color="ED7D31" w:sz="8" w:space="0"/>
        <w:left w:val="single" w:color="ED7D31" w:sz="8" w:space="0"/>
        <w:bottom w:val="single" w:color="ED7D31" w:sz="8" w:space="0"/>
        <w:right w:val="single" w:color="ED7D31" w:sz="8" w:space="0"/>
        <w:insideH w:val="none" w:color="auto" w:sz="0" w:space="0"/>
        <w:insideV w:val="none" w:color="auto" w:sz="0"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ED7D31"/>
      </w:tcPr>
    </w:tblStylePr>
    <w:tblStylePr w:type="lastRow">
      <w:pPr>
        <w:spacing w:before="0" w:after="0" w:line="240" w:lineRule="auto"/>
      </w:pPr>
      <w:rPr>
        <w:b/>
        <w:bCs/>
      </w:rPr>
      <w:tblPr>
        <w:tblLayout w:type="fixed"/>
      </w:tblPr>
      <w:tcPr>
        <w:tcBorders>
          <w:top w:val="double" w:color="ED7D31" w:sz="6" w:space="0"/>
          <w:left w:val="single" w:color="ED7D31" w:sz="8" w:space="0"/>
          <w:bottom w:val="single" w:color="ED7D31" w:sz="8" w:space="0"/>
          <w:right w:val="single" w:color="ED7D31"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ED7D31" w:sz="8" w:space="0"/>
          <w:left w:val="single" w:color="ED7D31" w:sz="8" w:space="0"/>
          <w:bottom w:val="single" w:color="ED7D31" w:sz="8" w:space="0"/>
          <w:right w:val="single" w:color="ED7D31" w:sz="8" w:space="0"/>
          <w:insideH w:val="nil"/>
          <w:insideV w:val="nil"/>
          <w:tl2br w:val="nil"/>
          <w:tr2bl w:val="nil"/>
        </w:tcBorders>
      </w:tcPr>
    </w:tblStylePr>
    <w:tblStylePr w:type="band1Horz">
      <w:tblPr>
        <w:tblLayout w:type="fixed"/>
      </w:tblPr>
      <w:tcPr>
        <w:tcBorders>
          <w:top w:val="single" w:color="ED7D31" w:sz="8" w:space="0"/>
          <w:left w:val="single" w:color="ED7D31" w:sz="8" w:space="0"/>
          <w:bottom w:val="single" w:color="ED7D31" w:sz="8" w:space="0"/>
          <w:right w:val="single" w:color="ED7D31" w:sz="8" w:space="0"/>
          <w:insideH w:val="nil"/>
          <w:insideV w:val="nil"/>
          <w:tl2br w:val="nil"/>
          <w:tr2bl w:val="nil"/>
        </w:tcBorders>
      </w:tcPr>
    </w:tblStylePr>
  </w:style>
  <w:style w:type="character" w:customStyle="1" w:styleId="29">
    <w:name w:val="标题 4 Char"/>
    <w:link w:val="5"/>
    <w:qFormat/>
    <w:uiPriority w:val="0"/>
    <w:rPr>
      <w:rFonts w:ascii="黑体" w:hAnsi="黑体" w:eastAsia="楷体_GB2312" w:cs="Times New Roman"/>
      <w:b/>
      <w:bCs/>
      <w:sz w:val="32"/>
      <w:szCs w:val="28"/>
    </w:rPr>
  </w:style>
  <w:style w:type="paragraph" w:customStyle="1" w:styleId="30">
    <w:name w:val="首行缩进"/>
    <w:basedOn w:val="1"/>
    <w:qFormat/>
    <w:uiPriority w:val="0"/>
    <w:pPr>
      <w:ind w:firstLine="480" w:firstLineChars="200"/>
    </w:pPr>
    <w:rPr>
      <w:lang w:val="zh-CN"/>
    </w:rPr>
  </w:style>
  <w:style w:type="paragraph" w:customStyle="1" w:styleId="31">
    <w:name w:val="专栏"/>
    <w:basedOn w:val="1"/>
    <w:link w:val="36"/>
    <w:qFormat/>
    <w:uiPriority w:val="0"/>
    <w:pPr>
      <w:spacing w:line="440" w:lineRule="exact"/>
      <w:ind w:firstLine="640" w:firstLineChars="200"/>
    </w:pPr>
    <w:rPr>
      <w:rFonts w:ascii="Times New Roman" w:hAnsi="Times New Roman"/>
      <w:spacing w:val="0"/>
      <w:kern w:val="2"/>
      <w:sz w:val="24"/>
    </w:rPr>
  </w:style>
  <w:style w:type="paragraph" w:customStyle="1" w:styleId="32">
    <w:name w:val="表格"/>
    <w:basedOn w:val="1"/>
    <w:qFormat/>
    <w:uiPriority w:val="0"/>
    <w:pPr>
      <w:spacing w:line="420" w:lineRule="exact"/>
      <w:jc w:val="left"/>
    </w:pPr>
    <w:rPr>
      <w:rFonts w:ascii="Times New Roman" w:hAnsi="Times New Roman" w:eastAsia="宋体"/>
      <w:spacing w:val="-11"/>
      <w:kern w:val="10"/>
      <w:sz w:val="21"/>
    </w:rPr>
  </w:style>
  <w:style w:type="paragraph" w:customStyle="1" w:styleId="33">
    <w:name w:val="表头"/>
    <w:basedOn w:val="1"/>
    <w:qFormat/>
    <w:uiPriority w:val="0"/>
    <w:pPr>
      <w:spacing w:line="300" w:lineRule="auto"/>
      <w:jc w:val="center"/>
    </w:pPr>
    <w:rPr>
      <w:rFonts w:ascii="Times New Roman" w:hAnsi="Times New Roman" w:eastAsia="黑体"/>
      <w:spacing w:val="-11"/>
      <w:kern w:val="10"/>
      <w:sz w:val="28"/>
    </w:rPr>
  </w:style>
  <w:style w:type="paragraph" w:customStyle="1" w:styleId="34">
    <w:name w:val="专栏标题"/>
    <w:basedOn w:val="1"/>
    <w:qFormat/>
    <w:uiPriority w:val="0"/>
    <w:pPr>
      <w:spacing w:line="440" w:lineRule="exact"/>
      <w:jc w:val="center"/>
    </w:pPr>
    <w:rPr>
      <w:rFonts w:ascii="黑体" w:hAnsi="黑体" w:eastAsia="黑体"/>
      <w:sz w:val="24"/>
    </w:rPr>
  </w:style>
  <w:style w:type="character" w:customStyle="1" w:styleId="35">
    <w:name w:val="标题 3 Char"/>
    <w:link w:val="4"/>
    <w:qFormat/>
    <w:uiPriority w:val="0"/>
    <w:rPr>
      <w:rFonts w:ascii="Times New Roman" w:hAnsi="Times New Roman" w:eastAsia="方正黑体_GBK"/>
      <w:bCs/>
      <w:spacing w:val="6"/>
      <w:sz w:val="32"/>
      <w:szCs w:val="32"/>
    </w:rPr>
  </w:style>
  <w:style w:type="character" w:customStyle="1" w:styleId="36">
    <w:name w:val="专栏 Char"/>
    <w:link w:val="31"/>
    <w:qFormat/>
    <w:uiPriority w:val="0"/>
    <w:rPr>
      <w:rFonts w:ascii="Times New Roman" w:hAnsi="Times New Roman" w:eastAsia="仿宋_GB2312"/>
      <w:spacing w:val="0"/>
      <w:kern w:val="2"/>
      <w:sz w:val="24"/>
    </w:rPr>
  </w:style>
  <w:style w:type="character" w:customStyle="1" w:styleId="37">
    <w:name w:val="标题 5 Char"/>
    <w:link w:val="6"/>
    <w:qFormat/>
    <w:uiPriority w:val="0"/>
    <w:rPr>
      <w:b/>
      <w:sz w:val="32"/>
    </w:rPr>
  </w:style>
  <w:style w:type="character" w:customStyle="1" w:styleId="38">
    <w:name w:val="标题 1 Char"/>
    <w:link w:val="3"/>
    <w:qFormat/>
    <w:uiPriority w:val="0"/>
    <w:rPr>
      <w:rFonts w:ascii="迷你简粗仿宋" w:hAnsi="迷你简粗仿宋" w:eastAsia="方正小标宋简体" w:cs="Arial"/>
      <w:bCs/>
      <w:kern w:val="44"/>
      <w:sz w:val="36"/>
      <w:szCs w:val="44"/>
    </w:rPr>
  </w:style>
  <w:style w:type="character" w:customStyle="1" w:styleId="39">
    <w:name w:val="标题 Char"/>
    <w:link w:val="20"/>
    <w:qFormat/>
    <w:uiPriority w:val="0"/>
    <w:rPr>
      <w:rFonts w:ascii="Arial" w:hAnsi="Arial"/>
      <w:b/>
      <w:sz w:val="32"/>
    </w:rPr>
  </w:style>
  <w:style w:type="character" w:customStyle="1" w:styleId="40">
    <w:name w:val="标题 6 Char"/>
    <w:link w:val="7"/>
    <w:qFormat/>
    <w:uiPriority w:val="0"/>
    <w:rPr>
      <w:rFonts w:ascii="Arial" w:hAnsi="Arial" w:eastAsia="黑体"/>
      <w:b/>
      <w:sz w:val="24"/>
    </w:rPr>
  </w:style>
  <w:style w:type="paragraph" w:customStyle="1" w:styleId="41">
    <w:name w:val="样式 标题 2 + (西文) Times New Roman (中文) 楷体_GB2312 三号 黑色 居中 段前: ..."/>
    <w:basedOn w:val="2"/>
    <w:qFormat/>
    <w:uiPriority w:val="0"/>
    <w:pPr>
      <w:spacing w:before="204" w:beforeLines="0" w:after="204" w:afterLines="0" w:line="560" w:lineRule="exact"/>
      <w:jc w:val="center"/>
    </w:pPr>
    <w:rPr>
      <w:rFonts w:ascii="Times New Roman" w:hAnsi="Times New Roman" w:eastAsia="楷体_GB2312" w:cs="宋体"/>
      <w:b/>
      <w:bCs w:val="0"/>
      <w:color w:val="000000"/>
      <w:sz w:val="32"/>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65574</Words>
  <Characters>66868</Characters>
  <Lines>0</Lines>
  <Paragraphs>0</Paragraphs>
  <TotalTime>68</TotalTime>
  <ScaleCrop>false</ScaleCrop>
  <LinksUpToDate>false</LinksUpToDate>
  <CharactersWithSpaces>67817</CharactersWithSpaces>
  <Application>WPS Office_10.1.0.7637_F1E327BC-269C-435d-A152-05C5408002CA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2020-08-16T12:35:00Z</dcterms:created>
  <dc:creator>Hitler。</dc:creator>
  <cp:lastModifiedBy>user</cp:lastModifiedBy>
  <cp:lastPrinted>2021-03-31T17:05:08Z</cp:lastPrinted>
  <dcterms:modified xsi:type="dcterms:W3CDTF">2021-03-31T17:06:32Z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2052-10.1.0.7637</vt:lpwstr>
  </property>
  <property fmtid="{D5CDD505-2E9C-101B-9397-08002B2CF9AE}" pid="3" name="KSOSaveFontToCloudKey">
    <vt:lpwstr>408010463_btnclosed</vt:lpwstr>
  </property>
  <property fmtid="{D5CDD505-2E9C-101B-9397-08002B2CF9AE}" pid="4" name="ICV">
    <vt:lpwstr>02FCDC88CD09410B891E0CBF0C1D138C</vt:lpwstr>
  </property>
</Properties>
</file>