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tbl>
      <w:tblPr>
        <w:tblStyle w:val="4"/>
        <w:tblW w:w="13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0"/>
        <w:gridCol w:w="1549"/>
        <w:gridCol w:w="5991"/>
        <w:gridCol w:w="22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9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联络员信息表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92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92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 务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微信号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tbl>
      <w:tblPr>
        <w:tblStyle w:val="4"/>
        <w:tblW w:w="143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0"/>
        <w:gridCol w:w="3480"/>
        <w:gridCol w:w="3480"/>
        <w:gridCol w:w="38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3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政策措施落实情况统计表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31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31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若干措施内容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细化落实措施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当前落实情况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例如：1.降低融资成本。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具体举措：                              1.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2.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截止2月28日为XX家企业发放贷款XX万元，降低利息XX万元等。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                                      1.《中小微企业贷款汇总情况一览表》2.XXXX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808A6"/>
    <w:rsid w:val="24E808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 w:bidi="ar-SA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2020-02-15T08:30:00Z</dcterms:created>
  <dc:creator>吴忠市政府办公室收文员</dc:creator>
  <cp:lastModifiedBy>吴忠市政府办公室收文员</cp:lastModifiedBy>
  <dcterms:modified xsi:type="dcterms:W3CDTF">2020-02-15T08:31:27Z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