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rPr>
          <w:rFonts w:hint="eastAsia" w:ascii="方正仿宋_GBK" w:hAnsi="Times New Roman" w:eastAsia="方正仿宋_GBK"/>
          <w:color w:val="000000"/>
        </w:rPr>
      </w:pPr>
      <w:r>
        <w:rPr>
          <w:rFonts w:hint="eastAsia" w:ascii="方正仿宋_GBK" w:hAnsi="Times New Roman" w:eastAsia="方正仿宋_GBK"/>
          <w:color w:val="000000"/>
        </w:rPr>
        <w:t>附件</w:t>
      </w:r>
    </w:p>
    <w:p>
      <w:pPr>
        <w:pStyle w:val="8"/>
        <w:rPr>
          <w:rFonts w:hint="eastAsia"/>
          <w:color w:val="000000"/>
        </w:rPr>
      </w:pPr>
      <w:r>
        <w:rPr>
          <w:rFonts w:hint="eastAsia"/>
          <w:color w:val="000000"/>
        </w:rPr>
        <w:t>吴忠市“互联网+医疗健康”建设工作推进时间表</w:t>
      </w:r>
    </w:p>
    <w:p>
      <w:pPr>
        <w:pStyle w:val="8"/>
        <w:spacing w:line="200" w:lineRule="exact"/>
        <w:rPr>
          <w:color w:val="000000"/>
        </w:rPr>
      </w:pPr>
    </w:p>
    <w:tbl>
      <w:tblPr>
        <w:tblStyle w:val="6"/>
        <w:tblW w:w="14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977"/>
        <w:gridCol w:w="2751"/>
        <w:gridCol w:w="29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blHeader/>
          <w:jc w:val="center"/>
        </w:trPr>
        <w:tc>
          <w:tcPr>
            <w:tcW w:w="852" w:type="dxa"/>
            <w:vAlign w:val="center"/>
          </w:tcPr>
          <w:p>
            <w:pPr>
              <w:pStyle w:val="4"/>
              <w:widowControl w:val="0"/>
              <w:spacing w:before="0" w:beforeAutospacing="0" w:after="0" w:afterAutospacing="0" w:line="620" w:lineRule="exact"/>
              <w:jc w:val="center"/>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编号</w:t>
            </w:r>
          </w:p>
        </w:tc>
        <w:tc>
          <w:tcPr>
            <w:tcW w:w="1701" w:type="dxa"/>
            <w:vAlign w:val="center"/>
          </w:tcPr>
          <w:p>
            <w:pPr>
              <w:pStyle w:val="4"/>
              <w:widowControl w:val="0"/>
              <w:spacing w:before="0" w:beforeAutospacing="0" w:after="0" w:afterAutospacing="0" w:line="360" w:lineRule="exact"/>
              <w:ind w:firstLine="840" w:firstLineChars="300"/>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5080</wp:posOffset>
                      </wp:positionV>
                      <wp:extent cx="1077595" cy="372745"/>
                      <wp:effectExtent l="1270" t="4445" r="6985" b="22860"/>
                      <wp:wrapNone/>
                      <wp:docPr id="1" name="自选图形 13"/>
                      <wp:cNvGraphicFramePr/>
                      <a:graphic xmlns:a="http://schemas.openxmlformats.org/drawingml/2006/main">
                        <a:graphicData uri="http://schemas.microsoft.com/office/word/2010/wordprocessingShape">
                          <wps:wsp>
                            <wps:cNvCnPr/>
                            <wps:spPr>
                              <a:xfrm>
                                <a:off x="0" y="0"/>
                                <a:ext cx="1077595" cy="3727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4.85pt;margin-top:0.4pt;height:29.35pt;width:84.85pt;z-index:251659264;mso-width-relative:page;mso-height-relative:page;" o:connectortype="straight" filled="f" coordsize="21600,21600" o:gfxdata="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6uLWNYAAAAGAQAADwAA&#10;AAAAAAABACAAAAAiAAAAZHJzL2Rvd25yZXYueG1sUEsBAhQAFAAAAAgAh07iQCjYJhrfAQAAmwMA&#10;AA4AAAAAAAAAAQAgAAAAJQEAAGRycy9lMm9Eb2MueG1sUEsFBgAAAAAGAAYAWQEAAHYFAAAAAA==&#10;">
                      <v:path arrowok="t"/>
                      <v:fill on="f" focussize="0,0"/>
                      <v:stroke/>
                      <v:imagedata o:title=""/>
                      <o:lock v:ext="edit"/>
                    </v:shape>
                  </w:pict>
                </mc:Fallback>
              </mc:AlternateContent>
            </w:r>
            <w:r>
              <w:rPr>
                <w:rFonts w:ascii="Times New Roman" w:hAnsi="Times New Roman" w:eastAsia="仿宋_GB2312" w:cs="Times New Roman"/>
                <w:b/>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6350</wp:posOffset>
                      </wp:positionV>
                      <wp:extent cx="765175" cy="685800"/>
                      <wp:effectExtent l="3175" t="3810" r="12700" b="15240"/>
                      <wp:wrapNone/>
                      <wp:docPr id="2" name="自选图形 14"/>
                      <wp:cNvGraphicFramePr/>
                      <a:graphic xmlns:a="http://schemas.openxmlformats.org/drawingml/2006/main">
                        <a:graphicData uri="http://schemas.microsoft.com/office/word/2010/wordprocessingShape">
                          <wps:wsp>
                            <wps:cNvCnPr/>
                            <wps:spPr>
                              <a:xfrm>
                                <a:off x="0" y="0"/>
                                <a:ext cx="765175" cy="6858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4.95pt;margin-top:0.5pt;height:54pt;width:60.25pt;z-index:251660288;mso-width-relative:page;mso-height-relative:page;" o:connectortype="straight" filled="f" coordsize="21600,21600" o:gfxdata="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ZeCvWAAAACAEAAA8A&#10;AAAAAAAAAQAgAAAAIgAAAGRycy9kb3ducmV2LnhtbFBLAQIUABQAAAAIAIdO4kB6vEAV4AEAAJoD&#10;AAAOAAAAAAAAAAEAIAAAACUBAABkcnMvZTJvRG9jLnhtbFBLBQYAAAAABgAGAFkBAAB3BQAAAAA=&#10;">
                      <v:path arrowok="t"/>
                      <v:fill on="f" focussize="0,0"/>
                      <v:stroke/>
                      <v:imagedata o:title=""/>
                      <o:lock v:ext="edit"/>
                    </v:shape>
                  </w:pict>
                </mc:Fallback>
              </mc:AlternateContent>
            </w:r>
            <w:r>
              <w:rPr>
                <w:rFonts w:ascii="Times New Roman" w:hAnsi="Times New Roman" w:eastAsia="仿宋_GB2312" w:cs="Times New Roman"/>
                <w:b/>
                <w:color w:val="000000"/>
                <w:sz w:val="28"/>
                <w:szCs w:val="28"/>
              </w:rPr>
              <w:t>年度</w:t>
            </w:r>
          </w:p>
          <w:p>
            <w:pPr>
              <w:pStyle w:val="4"/>
              <w:widowControl w:val="0"/>
              <w:spacing w:before="0" w:beforeAutospacing="0" w:after="0" w:afterAutospacing="0" w:line="360" w:lineRule="exact"/>
              <w:ind w:firstLine="560" w:firstLineChars="200"/>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任务</w:t>
            </w:r>
          </w:p>
          <w:p>
            <w:pPr>
              <w:pStyle w:val="4"/>
              <w:widowControl w:val="0"/>
              <w:spacing w:before="0" w:beforeAutospacing="0" w:after="0" w:afterAutospacing="0" w:line="360" w:lineRule="exact"/>
              <w:jc w:val="both"/>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项目</w:t>
            </w:r>
          </w:p>
        </w:tc>
        <w:tc>
          <w:tcPr>
            <w:tcW w:w="2977" w:type="dxa"/>
            <w:vAlign w:val="center"/>
          </w:tcPr>
          <w:p>
            <w:pPr>
              <w:pStyle w:val="4"/>
              <w:widowControl w:val="0"/>
              <w:spacing w:before="0" w:beforeAutospacing="0" w:after="0" w:afterAutospacing="0" w:line="560" w:lineRule="exact"/>
              <w:jc w:val="center"/>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2019年</w:t>
            </w:r>
          </w:p>
        </w:tc>
        <w:tc>
          <w:tcPr>
            <w:tcW w:w="2751" w:type="dxa"/>
            <w:vAlign w:val="center"/>
          </w:tcPr>
          <w:p>
            <w:pPr>
              <w:pStyle w:val="4"/>
              <w:widowControl w:val="0"/>
              <w:spacing w:before="0" w:beforeAutospacing="0" w:after="0" w:afterAutospacing="0" w:line="560" w:lineRule="exact"/>
              <w:jc w:val="center"/>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2020年</w:t>
            </w:r>
          </w:p>
        </w:tc>
        <w:tc>
          <w:tcPr>
            <w:tcW w:w="2918" w:type="dxa"/>
            <w:vAlign w:val="center"/>
          </w:tcPr>
          <w:p>
            <w:pPr>
              <w:pStyle w:val="4"/>
              <w:widowControl w:val="0"/>
              <w:spacing w:before="0" w:beforeAutospacing="0" w:after="0" w:afterAutospacing="0" w:line="560" w:lineRule="exact"/>
              <w:jc w:val="center"/>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2021年</w:t>
            </w:r>
          </w:p>
        </w:tc>
        <w:tc>
          <w:tcPr>
            <w:tcW w:w="2835" w:type="dxa"/>
            <w:vAlign w:val="center"/>
          </w:tcPr>
          <w:p>
            <w:pPr>
              <w:pStyle w:val="4"/>
              <w:widowControl w:val="0"/>
              <w:spacing w:before="0" w:beforeAutospacing="0" w:after="0" w:afterAutospacing="0" w:line="560" w:lineRule="exact"/>
              <w:jc w:val="center"/>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夯实互联互通基础，保障医疗数据安全</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升级改造现有电子政务外网，覆盖90%以上公立医疗卫生机构吴忠市人民医院网络带宽不低于500M，县级公立医院网络带宽不低于200M，基层医疗卫生机构不低于100M，开展医疗卫生行业信息系统等级保护定级、备案、测评工作。</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推进全市医疗健康数据统一管理和维护，保障医疗数据传输安全可靠，确保医疗卫生机构信息互联互通。开展关键信息基础设施专项检查和安全评估，建立完善网络安全应急预案并开展应急演练活动。</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加强网络安全运维管理，强化从业人员网络安全培训和继续教育，严格保护居民个人隐私信息。推进5G技术应用。加强网络安全实时监测和防护，营造安全可靠的医疗网络环境。</w:t>
            </w:r>
          </w:p>
        </w:tc>
        <w:tc>
          <w:tcPr>
            <w:tcW w:w="2835" w:type="dxa"/>
            <w:vAlign w:val="top"/>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持续增强医疗数据安全保障能力，配合自治区试点开展医疗行业IPv6网络建设和应用，建立沟通协调机制，共享网络安全监测预警信息，形成全领域、全方位安全保障网络。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00" w:lineRule="exact"/>
              <w:jc w:val="center"/>
              <w:rPr>
                <w:rFonts w:hint="eastAsia" w:ascii="方正楷体_GBK" w:hAnsi="Times New Roman" w:eastAsia="方正楷体_GBK" w:cs="Times New Roman"/>
                <w:b/>
                <w:color w:val="000000"/>
                <w:spacing w:val="-12"/>
                <w:w w:val="90"/>
                <w:sz w:val="28"/>
                <w:szCs w:val="28"/>
              </w:rPr>
            </w:pPr>
            <w:r>
              <w:rPr>
                <w:rFonts w:hint="eastAsia" w:ascii="方正楷体_GBK" w:hAnsi="Times New Roman" w:eastAsia="方正楷体_GBK" w:cs="Times New Roman"/>
                <w:b/>
                <w:color w:val="000000"/>
                <w:spacing w:val="-12"/>
                <w:w w:val="90"/>
                <w:sz w:val="28"/>
                <w:szCs w:val="28"/>
              </w:rPr>
              <w:t>依托三大中心，参与健康医疗大数据研究</w:t>
            </w:r>
          </w:p>
        </w:tc>
        <w:tc>
          <w:tcPr>
            <w:tcW w:w="11481" w:type="dxa"/>
            <w:gridSpan w:val="4"/>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银川健康医疗大数据产业园、中卫健康医疗大数据中心和吴忠市大数据运营公司，开展健康医疗大数据存储、交换、应用集约化管理，云计算和大数据分析等，积极融入银川都市圈，进一步提升我市医疗服务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推动“互联网+”党建行风建设</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依托自治区卫生健康系统“网上党校”，推广“互联网+”党建行风工作，应用覆盖全市医疗卫生系统10个以上党支部。</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应用覆盖全市医疗卫生系统30个以上党支部，扩展业务审批、网上党校等线上业务功能。</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4"/>
              </w:rPr>
            </w:pPr>
            <w:r>
              <w:rPr>
                <w:rFonts w:hint="eastAsia" w:ascii="方正仿宋_GBK" w:hAnsi="Times New Roman" w:eastAsia="方正仿宋_GBK" w:cs="Times New Roman"/>
                <w:color w:val="000000"/>
                <w:spacing w:val="-4"/>
              </w:rPr>
              <w:t>基本覆盖全市各级医疗卫生机构党支部，建立建全行业作风建设工作评价机制，实现对党员领导干部及重点岗位党员全覆盖监督。</w:t>
            </w:r>
          </w:p>
        </w:tc>
        <w:tc>
          <w:tcPr>
            <w:tcW w:w="2835" w:type="dxa"/>
            <w:vAlign w:val="top"/>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实现全市医疗卫生系统党建行风建设工作的信息化、标准化管理。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开展行业</w:t>
            </w:r>
          </w:p>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制度创新</w:t>
            </w:r>
          </w:p>
        </w:tc>
        <w:tc>
          <w:tcPr>
            <w:tcW w:w="5728"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按照自治区统一安排部署，制定并完善“互联网+”药品配送和监管政策，允许第三方配送公司对线上诊疗处方药品进行配送，探索设立自动取售药机，方便患者持电子处方自助取药。探索将符合条件的互联网诊疗服务纳入医保支付范围。鼓励执业医师开展“互联网+医疗健康”服务，推动医疗卫生从业人员多点执业，鼓励通过线上服务获得相应报酬。</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配合自治区建立并完善“互联网+”医疗、“互联网+”医药、“互联网+”医保以及健康行为规范监督考核机制。</w:t>
            </w:r>
          </w:p>
        </w:tc>
        <w:tc>
          <w:tcPr>
            <w:tcW w:w="2835" w:type="dxa"/>
            <w:vAlign w:val="top"/>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形成完善的互联网诊疗收费、监管模式、医保支付</w:t>
            </w:r>
            <w:bookmarkStart w:id="0" w:name="_GoBack"/>
            <w:bookmarkEnd w:id="0"/>
            <w:r>
              <w:rPr>
                <w:rFonts w:hint="eastAsia" w:ascii="方正仿宋_GBK" w:hAnsi="Times New Roman" w:eastAsia="方正仿宋_GBK" w:cs="Times New Roman"/>
                <w:color w:val="000000"/>
              </w:rPr>
              <w:t>等制度规范。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探索合作</w:t>
            </w:r>
          </w:p>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机制创新</w:t>
            </w:r>
          </w:p>
        </w:tc>
        <w:tc>
          <w:tcPr>
            <w:tcW w:w="5728"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推动医疗卫生机构与第三方机构、互联网企业合作，允许第三方医学诊断检验检查平台拓展服务项目，建立利益分配机制和激励机制。</w:t>
            </w:r>
          </w:p>
        </w:tc>
        <w:tc>
          <w:tcPr>
            <w:tcW w:w="5753"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参考自治区示范区发展合作模式，形成适合我市实际的合作模式。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推动医疗</w:t>
            </w:r>
          </w:p>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科教创新</w:t>
            </w:r>
          </w:p>
        </w:tc>
        <w:tc>
          <w:tcPr>
            <w:tcW w:w="2977"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依托自治区卫生健康科教信息一体化管理系统，实现科教服务、适宜技术推广等功能。依托自治区医学教育管理平台，实现住院医师规范化培训管理和医学教育管理。</w:t>
            </w:r>
          </w:p>
        </w:tc>
        <w:tc>
          <w:tcPr>
            <w:tcW w:w="2751"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依托自治区适宜技术推广项目管理和全科医生培训管理等系统，为全市卫生健康专业技术人员提供优质的继续医学教育培训资源和便捷的继续医学教育管理服务。</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推广使用自治区科研管理系统和科普教育系统。</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依托自治区卫生健康科教信息一体化管理系统，实现科教信息的规范化管理。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加强电子</w:t>
            </w:r>
          </w:p>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病历信息化建设</w:t>
            </w:r>
          </w:p>
        </w:tc>
        <w:tc>
          <w:tcPr>
            <w:tcW w:w="2977"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吴忠市人民医院要达到电子病历应用水平分级评价3级以上，实现医院内不同部门间数据交换。</w:t>
            </w:r>
          </w:p>
        </w:tc>
        <w:tc>
          <w:tcPr>
            <w:tcW w:w="2751"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spacing w:val="-12"/>
              </w:rPr>
            </w:pPr>
            <w:r>
              <w:rPr>
                <w:rFonts w:hint="eastAsia" w:ascii="方正仿宋_GBK" w:hAnsi="Times New Roman" w:eastAsia="方正仿宋_GBK" w:cs="Times New Roman"/>
                <w:color w:val="000000"/>
                <w:spacing w:val="-12"/>
              </w:rPr>
              <w:t>吴忠市人民医院要达到分级评价4级以上，实现院内各诊疗环节信息互联互通，并具备医疗决策支持功能。</w:t>
            </w:r>
          </w:p>
        </w:tc>
        <w:tc>
          <w:tcPr>
            <w:tcW w:w="5753"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在有条件的县级公立医院逐步推进电子病历信息化水平评价。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全民健康</w:t>
            </w:r>
          </w:p>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信息平台</w:t>
            </w:r>
          </w:p>
        </w:tc>
        <w:tc>
          <w:tcPr>
            <w:tcW w:w="2977"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配合自治区卫生健康委建设并完善一体化健康信息平台，实现数据采集、存储、交换、检索服务等功能。</w:t>
            </w:r>
          </w:p>
        </w:tc>
        <w:tc>
          <w:tcPr>
            <w:tcW w:w="8504" w:type="dxa"/>
            <w:gridSpan w:val="3"/>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配合自治区卫生健康委做好便民惠民服务应用及业务监管的对接工作，完成与吴忠市大数据运营公司等多部门、多平台的数据互联互通，畅通部门、区域、专业之间的数据交换。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推动数据</w:t>
            </w:r>
          </w:p>
          <w:p>
            <w:pPr>
              <w:pStyle w:val="4"/>
              <w:widowControl w:val="0"/>
              <w:spacing w:before="0" w:beforeAutospacing="0" w:after="0" w:afterAutospacing="0" w:line="36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综合管理</w:t>
            </w:r>
          </w:p>
        </w:tc>
        <w:tc>
          <w:tcPr>
            <w:tcW w:w="5728"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配合自治区建立并完善统一的数据中心核心数据库，完成在现有条件下对人员、设备、机构、业务等相关数据建模、入库。</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spacing w:val="-8"/>
              </w:rPr>
            </w:pPr>
            <w:r>
              <w:rPr>
                <w:rFonts w:hint="eastAsia" w:ascii="方正仿宋_GBK" w:hAnsi="Times New Roman" w:eastAsia="方正仿宋_GBK" w:cs="Times New Roman"/>
                <w:color w:val="000000"/>
                <w:spacing w:val="-8"/>
              </w:rPr>
              <w:t>加快医疗卫生机构间各类数据共享与交换，促进各业务系统兼容协同，实现“互联网+医疗健康”各项业务和管理一体化，并与吴忠市数据共享交换平台做好对接。</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建成适应居民多层次健康需求、上下联动、衔接互补的医疗健康大数据应用服务网络。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加快普及电子健康卡（码）</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全市范围内推广电子健康卡（码），整合县级医药卫生信息资源，逐步实现医疗服务、公共卫生业务、医疗保障和综合管理系统的互联互通、信息共享。普及电子社保卡与电子健康卡在医疗卫生业务领域的应用。推动个人健康档案和电子病历管理，强化个人健康与疾病监测在线管理，推动居民全生命周期健康信息互联互通，方便群众享受连续高质量的医疗、公共卫生和预防保健服务。</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加快县级医院信息化建设，推动电子病历库标准管理及推广工作，推进以患者为中心的医院信息化流程再造，加强以电子病历为核心的医院信息系统建设，实现电子病历与电子健康档案的衔接。</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规范临床诊疗行为、开展医务人员绩效考核，在全市范围内全面普及电子健康卡（码），畅通医疗服务流程，全面提升健康数据管理能力。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完善免疫</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管理服务</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系统</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依托自治区免疫规划管理系统，强化电子疫苗监管码应用，实现全市免疫规划数据互联互通。</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10"/>
              </w:rPr>
            </w:pPr>
            <w:r>
              <w:rPr>
                <w:rFonts w:hint="eastAsia" w:ascii="方正仿宋_GBK" w:hAnsi="Times New Roman" w:eastAsia="方正仿宋_GBK" w:cs="Times New Roman"/>
                <w:color w:val="000000"/>
                <w:spacing w:val="-10"/>
              </w:rPr>
              <w:t>依托自治区疫苗流通+电子监管系统、冷链监测报警系统，实现疫苗最小包装及冷链全程可追溯。依托自治区村级接种服务平台，推动村级免疫数据交换，实现村级接种单位信息化管理。</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6"/>
              </w:rPr>
            </w:pPr>
            <w:r>
              <w:rPr>
                <w:rFonts w:hint="eastAsia" w:ascii="方正仿宋_GBK" w:hAnsi="Times New Roman" w:eastAsia="方正仿宋_GBK" w:cs="Times New Roman"/>
                <w:color w:val="000000"/>
                <w:spacing w:val="-6"/>
              </w:rPr>
              <w:t>依托自治区数字化门诊及管理系统，在全市5家及以上预防接种门诊提供分时段预约、接种提醒等推送服务；依托自治区免疫规划数据决策支持系统，提高免疫规划数据分析及监管能力。</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2022年，推动全市47家及以上预防接种门诊数字化改造，实现预防接种全流程监管和服务。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打造妇幼</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健康服务</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新模式</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妇幼健康信息系统，实施妇幼“母子健康”信息化管理，初步实现妇幼保健、健康档案、远程会诊、医疗保障、绩效考核等便民服务管理功能。推广母子健康手册APP应用，为全市不低于70%的孕妇和新生儿建立电子版母子健康手册。</w:t>
            </w:r>
          </w:p>
        </w:tc>
        <w:tc>
          <w:tcPr>
            <w:tcW w:w="2918" w:type="dxa"/>
            <w:vAlign w:val="center"/>
          </w:tcPr>
          <w:p>
            <w:pPr>
              <w:pStyle w:val="4"/>
              <w:widowControl w:val="0"/>
              <w:spacing w:before="0" w:beforeAutospacing="0" w:after="0" w:afterAutospacing="0" w:line="260" w:lineRule="exact"/>
              <w:jc w:val="both"/>
              <w:rPr>
                <w:rFonts w:hint="eastAsia" w:ascii="方正仿宋_GBK" w:hAnsi="Times New Roman" w:eastAsia="方正仿宋_GBK" w:cs="Times New Roman"/>
                <w:color w:val="000000"/>
                <w:spacing w:val="-4"/>
              </w:rPr>
            </w:pPr>
            <w:r>
              <w:rPr>
                <w:rFonts w:hint="eastAsia" w:ascii="方正仿宋_GBK" w:hAnsi="Times New Roman" w:eastAsia="方正仿宋_GBK" w:cs="Times New Roman"/>
                <w:color w:val="000000"/>
                <w:spacing w:val="-4"/>
              </w:rPr>
              <w:t>在重点医疗卫生机构全面使用妇幼健康平台，为全市90%以上的当年孕妇和新生儿建立电子版母子健康手册，实现孕期保健、住院分娩、出生登记、儿童保健等业务全流程互联互通。</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在全市推广母子健康手册APP，形成母子一体、线上线下协同、全程连续、全生命周期管理的服务网络。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加强疾病防控动态监测</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依托宁夏疾病预防控制业务信息平台，开展卫生防治科普等服务，创新面向基层的移动远程巡诊服务模式，提升疾病防治水平。</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配合自治区升级改造疾控业务信息系统。</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依托宁夏疾病预防控制业务信息门户平台，实现覆盖传染病、慢性病、免疫规划、精神卫生、健康危害因素等疾控业务应用。</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12"/>
              </w:rPr>
            </w:pPr>
            <w:r>
              <w:rPr>
                <w:rFonts w:hint="eastAsia" w:ascii="方正仿宋_GBK" w:hAnsi="Times New Roman" w:eastAsia="方正仿宋_GBK" w:cs="Times New Roman"/>
                <w:color w:val="000000"/>
                <w:spacing w:val="-12"/>
              </w:rPr>
              <w:t>依托自治区疾病防控动态监测系统，实现各类公共卫生信息的共建、共享、共用，全面提升重大疾病防控和突发公共卫生事件应对能力。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完善血液全流程服务</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依托自治区医院免费用血直报系统，实现献血记录及报销记录查证、血费报销管理、献血者服务管理等功能，服务医疗卫生机构和献血人群。</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通过完善用血服务流程再造，实现异地免费用血直报。逐步实现全市供血业务的监管和统计分析、血液库存调拨、审核和采供血信息的交互共享。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优化居民就医服务流程</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在符合条件的二级及以上医院逐步开展门诊号源、床位资源和医技预约资源整合工作，依托自治区互联网医疗资源共享库，为居民提供智能分诊、智能导诊等基础服务。</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依托自治区互联网医疗资源共享库，居民可通过手机客户端查询检验检查结果。全市二级及以上医院全面开通线上就医便民服务业务，实现医疗卫生机构诊前、诊中、诊后全流程线上就医服务。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建设“互联网+”医院</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依托吴忠市人民医院、吴忠市妇幼保健计划生育服务中心等医疗机构，采用互联网技术提供安全适宜的医疗服务，逐步在线开展部分常见病、慢性病复诊。</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逐步在线开具部分常见病、慢性病处方，通过与符合条件的第三方机构合作搭建互联网信息系统，开展远程医疗、健康咨询、健康管理服务，促进医院、医务人员、患者之间的有效沟通。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建设互联</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网门诊</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实体医院基础上，允许依托医疗卫生机构发展互联网医院，运用互联网技术提供安全适宜的医疗服务，在线开展部分常见病、慢性病复诊。整合优势学科专家资源，为基层医生、患者提供互联网门诊服务。支持医疗卫生机构、符合条件的第三方机构搭建互联网信息平台，开展远程医疗、健康咨询、健康管理服务。</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推动社区卫生服务站、村卫生室的远程医疗全覆盖，互联网门诊接入县级以上医疗卫生机构。实现所有乡级以上医疗卫生机构的互联网门诊服务全覆盖，推动构建有序的分级诊疗格局。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完善双向</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转诊机制</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建设区域双向转诊平台，依托自治区转诊协同服务平台，共同推动医生在转诊过程中的互动交流和业务协同，建立健全跨院病历共享机制、转诊协同的考核和激励机制，健全转诊协同服务网络，实现双向转诊的信息化、标准化、实时监控、有效考核和医疗资源的公平配置。</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在满足实际需求的前提下，预留号源比例达到15%，并提供住院转诊服务，建立下转通道，完善医疗机构服务质量和规范，提高基层卫生服务体系运行效率。</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利用支付杠杆作用提高居民上转报销比例，优化转诊协同沟通机制，实现全市医联体内双向转诊服务全覆盖，提高患者对医疗机构的满意度，增强卫生行业社会效益。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完善120</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智能服务</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网络</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依托“自治区120急救网络一体化”系统，完善指挥调度、数据分析研判、预警和网络，促进急救中心数据互联互通。加强市级120指挥调度质控管理，完善院前急救现场单兵系统，提升院前急救效率和质量。</w:t>
            </w:r>
          </w:p>
        </w:tc>
        <w:tc>
          <w:tcPr>
            <w:tcW w:w="2751" w:type="dxa"/>
            <w:vAlign w:val="center"/>
          </w:tcPr>
          <w:p>
            <w:pPr>
              <w:pStyle w:val="4"/>
              <w:widowControl w:val="0"/>
              <w:spacing w:before="0" w:beforeAutospacing="0" w:after="0" w:afterAutospacing="0" w:line="26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依托自治区120质控监测预警平台，提高全市院前急救数据分析使用率，对接交管系统提升道路交通突发事件救援效率。依托自治区智慧救护车物流管理系统，通过物联网、互联网技术实现院前急救智能化管理。</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依托全市各级乡镇中心卫生院建立急救分站，提高急救网络覆盖率，缩短急救半径，争取获得国际绩优认证。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提升家庭</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医生签约</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服务水平</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10"/>
              </w:rPr>
            </w:pPr>
            <w:r>
              <w:rPr>
                <w:rFonts w:hint="eastAsia" w:ascii="方正仿宋_GBK" w:hAnsi="Times New Roman" w:eastAsia="方正仿宋_GBK" w:cs="Times New Roman"/>
                <w:color w:val="000000"/>
                <w:spacing w:val="-10"/>
              </w:rPr>
              <w:t>配合自治区做好家庭医生签约服务信息平台和城乡居民门诊电子健康档案管理系统互联互通、数据共享等工作。利用互联网技术提供健康教育、健康知识查询等便捷服务，重点提升建档立卡贫困户的家庭医生签约服务水平。</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加强动态健康管理应用、开展线上线下诊疗服务，拓展家庭医生签约服务内涵。</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融合物联网、大数据、人工智能等前沿技术，推进“互联网+”“专科—全科”结合型家庭医生团队服务，建设血糖监测管理系统，逐步在全市推广使用，不断提升家庭医生团队服务能力。</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实现“互联网+”“专科—全科”结合型家庭医生团队全覆盖，为居民提供健康咨询、预约转诊、慢病随访、健康管理和延伸处方等线上线下互动签约服务。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提升中医</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健康服务</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能力</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中医药信息共享平台和“中医馆”信息管理平台，建立中医“治未病”服务网络，健全中医药临床业务信息共享、经验传承服务、专科临床应用、政务管理等功能，提升基层医疗卫生机构中医健康服务能力。</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整合中医医疗服务数据资源，提供中医药专病信息服务、综合管理和中医馆健康服务等拓展功能。</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自治区中医馆健康信息平台覆盖所有基层医疗卫生机构“中医馆”。</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建立并完善中医“治未病”服务网络，为群众提供预防保健、疾病康复等健康指导服务。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构建医养结合服务模式</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健康医疗大数据中心和区域医疗诊断服务平台，围绕老年人疾病防治、医疗照护、心理健康和关怀，对接医疗卫生机构和养老服务资源，促进医院、养老机构、社区、家庭信息互联至通。以公立医院为示范引领，建立医疗养老联合体。</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引导社会力量运用“互联网+”手段开展老年人智慧健康养老服务。</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形成服务资源调动良性循环的多元健康养老发展新格局。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构建连续</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性健康管理网络</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依托自治区互联网居民健康康复服务管理系统，基于自治区健康管理知识库，推动医院与基层的协同分级诊疗。</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扩大康复管理病种范围，在吴忠市人民医院、部分有条件的二级医院开展健康管理服务。</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实现主要病种健康管理路径标准化，提供个性化健康管理服务。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建设市级</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区域影像</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诊断中心</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14"/>
              </w:rPr>
            </w:pPr>
            <w:r>
              <w:rPr>
                <w:rFonts w:hint="eastAsia" w:ascii="方正仿宋_GBK" w:hAnsi="Times New Roman" w:eastAsia="方正仿宋_GBK" w:cs="Times New Roman"/>
                <w:color w:val="000000"/>
                <w:spacing w:val="-14"/>
              </w:rPr>
              <w:t>融入银川都市圈，依托自治区远程医疗服务网络，建设市级区域影像诊断中心，配备多功能远程移动会诊工作站，推进跨机构检查影像信息流转。</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完成市内、外各级各类医疗卫生单位对接，建立常态化的远程诊断服务机制。</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在全市医联体内实现远程医疗协同，并辐射周边医疗卫生机构。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建设市级</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区域电生理诊断中心</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积极融入银川都市圈，依托吴忠市人民医院，建设市级电生理诊断中心，建立信息交换网络，推进各医疗卫生机构电生理检查信息交换互认，实现对全市电生理数据信息存储、交换、查询和服务的一体化管理。</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依托市级电生理诊断中心，推进利通区和青铜峡市区域内医疗卫生机构互联互通，积极配合自治区对电生理数据进行分类、汇总。</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实现红寺堡区、盐池县、同心县三县区内医疗卫生机构互联互通，依托自治区远程诊断中心支撑市级医疗卫生机构进行病案讨论、病案跟踪和个性化病案管理。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建设市级</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区域医学</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检验中心</w:t>
            </w:r>
          </w:p>
        </w:tc>
        <w:tc>
          <w:tcPr>
            <w:tcW w:w="2977"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10"/>
              </w:rPr>
            </w:pPr>
            <w:r>
              <w:rPr>
                <w:rFonts w:hint="eastAsia" w:ascii="方正仿宋_GBK" w:hAnsi="Times New Roman" w:eastAsia="方正仿宋_GBK" w:cs="Times New Roman"/>
                <w:color w:val="000000"/>
                <w:spacing w:val="-10"/>
              </w:rPr>
              <w:t>在吴忠市人民医院建设市级医学检验中心，连接符合条件的二级及以上医疗卫生机构，推动样本跨机构流转及外送样本全流程数据质量控制。</w:t>
            </w:r>
          </w:p>
        </w:tc>
        <w:tc>
          <w:tcPr>
            <w:tcW w:w="2751"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接入全市50%以上基层医疗卫生机构，打通优质检验资源下沉通道，减少医疗设备重复投入。</w:t>
            </w:r>
          </w:p>
        </w:tc>
        <w:tc>
          <w:tcPr>
            <w:tcW w:w="5753"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市级医学检验中心接入全市基层医疗卫生机构，构建跨地区、跨医院、跨部门的大协作体系，区域医疗诊断中心福射作用全面发挥。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pacing w:val="-20"/>
                <w:sz w:val="28"/>
                <w:szCs w:val="28"/>
              </w:rPr>
            </w:pPr>
            <w:r>
              <w:rPr>
                <w:rFonts w:hint="eastAsia" w:ascii="方正楷体_GBK" w:hAnsi="Times New Roman" w:eastAsia="方正楷体_GBK" w:cs="Times New Roman"/>
                <w:b/>
                <w:color w:val="000000"/>
                <w:spacing w:val="-20"/>
                <w:sz w:val="28"/>
                <w:szCs w:val="28"/>
              </w:rPr>
              <w:t>建设市级区域病理诊断中心</w:t>
            </w:r>
          </w:p>
        </w:tc>
        <w:tc>
          <w:tcPr>
            <w:tcW w:w="5728" w:type="dxa"/>
            <w:gridSpan w:val="2"/>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8"/>
              </w:rPr>
            </w:pPr>
            <w:r>
              <w:rPr>
                <w:rFonts w:hint="eastAsia" w:ascii="方正仿宋_GBK" w:hAnsi="Times New Roman" w:eastAsia="方正仿宋_GBK" w:cs="Times New Roman"/>
                <w:color w:val="000000"/>
                <w:spacing w:val="-8"/>
              </w:rPr>
              <w:t>融入银川都市圈，完成吴忠市人民医院与自治区病理诊断中心对接工作，通过上级医疗卫生机构提供的同质化培训服务、规范业务流程，形成覆盖更加广泛的病理诊断中心。</w:t>
            </w:r>
          </w:p>
        </w:tc>
        <w:tc>
          <w:tcPr>
            <w:tcW w:w="2918"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4"/>
              </w:rPr>
            </w:pPr>
            <w:r>
              <w:rPr>
                <w:rFonts w:hint="eastAsia" w:ascii="方正仿宋_GBK" w:hAnsi="Times New Roman" w:eastAsia="方正仿宋_GBK" w:cs="Times New Roman"/>
                <w:color w:val="000000"/>
                <w:spacing w:val="-4"/>
              </w:rPr>
              <w:t>接入50%以上的县级医疗卫生机构，提升基层医疗卫生机构的病理诊断能力。</w:t>
            </w:r>
          </w:p>
        </w:tc>
        <w:tc>
          <w:tcPr>
            <w:tcW w:w="2835" w:type="dxa"/>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spacing w:val="-12"/>
              </w:rPr>
            </w:pPr>
            <w:r>
              <w:rPr>
                <w:rFonts w:hint="eastAsia" w:ascii="方正仿宋_GBK" w:hAnsi="Times New Roman" w:eastAsia="方正仿宋_GBK" w:cs="Times New Roman"/>
                <w:color w:val="000000"/>
                <w:spacing w:val="-12"/>
              </w:rPr>
              <w:t>接入所有县级医疗卫生机构，统筹全市病理诊断资源，实现病理诊断服务全覆盖。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构建人工</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智能辅助</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诊断网络</w:t>
            </w:r>
          </w:p>
        </w:tc>
        <w:tc>
          <w:tcPr>
            <w:tcW w:w="8646" w:type="dxa"/>
            <w:gridSpan w:val="3"/>
            <w:vAlign w:val="center"/>
          </w:tcPr>
          <w:p>
            <w:pPr>
              <w:pStyle w:val="4"/>
              <w:widowControl w:val="0"/>
              <w:spacing w:before="0" w:beforeAutospacing="0" w:after="0" w:afterAutospacing="0" w:line="28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融入银川都市圈，依托自治区人民医院、自治区中医院等医疗卫生机构，将电子病历、医疗随访、虚拟医生助理等人工智能辅助诊疗体系推广至全市基层医疗单位，提升基层医疗单位医生专业技能。</w:t>
            </w:r>
          </w:p>
        </w:tc>
        <w:tc>
          <w:tcPr>
            <w:tcW w:w="2835" w:type="dxa"/>
            <w:vAlign w:val="center"/>
          </w:tcPr>
          <w:p>
            <w:pPr>
              <w:pStyle w:val="4"/>
              <w:widowControl w:val="0"/>
              <w:spacing w:before="0" w:beforeAutospacing="0" w:after="0" w:afterAutospacing="0" w:line="32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全市二级及以上公立医疗卫生机构实现语音电子病历和人工智能辅助诊断，基层医疗卫生机构实现人工智能辅助诊断、家庭医生辅助服务。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构建区域</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审方和流</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转机制</w:t>
            </w:r>
          </w:p>
        </w:tc>
        <w:tc>
          <w:tcPr>
            <w:tcW w:w="5728"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按照自治区统一部署，争取建设市级区域审方中心，利用审方系统审核互联网医院、线下实体医院门诊和药店共享处方，制定药师审方制度规范及绩效考核机制，扩展门诊处方共享平台应用。</w:t>
            </w:r>
          </w:p>
        </w:tc>
        <w:tc>
          <w:tcPr>
            <w:tcW w:w="5753"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在市级区域审方中心建设的基础上，配合自治区完善相应监管政策，实现全市药品配送有效监管、一站式服务和家门口取药。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深化医药</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耗材集中</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采购管理</w:t>
            </w:r>
          </w:p>
        </w:tc>
        <w:tc>
          <w:tcPr>
            <w:tcW w:w="5728"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按照自治区统一部署，在全市实行医药耗材集中采购方式，建设耗材价格数据库，实现采购价格监测和管控，推动医疗卫生机构政府阳光、透明、保质、低成本采购药品的快速配送。</w:t>
            </w:r>
          </w:p>
        </w:tc>
        <w:tc>
          <w:tcPr>
            <w:tcW w:w="5753"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加强基于互联网的短缺药品多源信息采集和供应业务协同应用，提升基本药物目录、鼓励仿制药品目录的遴选能力，形成全市公立医疗卫生机构医药耗材统一集中采购的长效机制。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构建医疗健康“一站式”结算系统</w:t>
            </w:r>
          </w:p>
        </w:tc>
        <w:tc>
          <w:tcPr>
            <w:tcW w:w="2977"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加快医疗卫生机构相关信息系统平台升级改造和数据对接整合，推进应用集成，加强基本医疗保险、大病保险、扶贫保险、医疗救助等制度有效衔接。</w:t>
            </w:r>
          </w:p>
        </w:tc>
        <w:tc>
          <w:tcPr>
            <w:tcW w:w="2751"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依托自治区“一站式”结算系统，逐步推广医保移动支付功能，拓展异地结算等功能。</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在全市公立医院推动“先诊疗、后付费”医疗结算服务模式，在全市推广医保移动支付功能。</w:t>
            </w:r>
          </w:p>
        </w:tc>
        <w:tc>
          <w:tcPr>
            <w:tcW w:w="2835"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形成医疗费用“一站式”即时结算网络。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建立完善医疗费用清算与对账系统</w:t>
            </w:r>
          </w:p>
        </w:tc>
        <w:tc>
          <w:tcPr>
            <w:tcW w:w="5728"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依托自治区医疗健康“一站式”结算系统，结合医保、商业保险等费用结算系统，逐步拓展医疗费用线上支付业务，实现医疗费用统一清算与对账。</w:t>
            </w:r>
          </w:p>
        </w:tc>
        <w:tc>
          <w:tcPr>
            <w:tcW w:w="5753"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不断完善优化线上结算功能，优化诊疗流程，形成医疗费用统一清算管理网络。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建立医保</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监控与管</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pacing w:val="-18"/>
                <w:sz w:val="28"/>
                <w:szCs w:val="28"/>
              </w:rPr>
            </w:pPr>
            <w:r>
              <w:rPr>
                <w:rFonts w:hint="eastAsia" w:ascii="方正楷体_GBK" w:hAnsi="Times New Roman" w:eastAsia="方正楷体_GBK" w:cs="Times New Roman"/>
                <w:b/>
                <w:color w:val="000000"/>
                <w:sz w:val="28"/>
                <w:szCs w:val="28"/>
              </w:rPr>
              <w:t>理体系</w:t>
            </w:r>
          </w:p>
        </w:tc>
        <w:tc>
          <w:tcPr>
            <w:tcW w:w="2977"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加强对医疗服务行为、医疗服务价格、医保筹资和支付、居民医疗负担控制等关键指标的实时监测和综合评价。</w:t>
            </w:r>
          </w:p>
        </w:tc>
        <w:tc>
          <w:tcPr>
            <w:tcW w:w="2751"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spacing w:val="-6"/>
              </w:rPr>
            </w:pPr>
            <w:r>
              <w:rPr>
                <w:rFonts w:hint="eastAsia" w:ascii="方正仿宋_GBK" w:hAnsi="Times New Roman" w:eastAsia="方正仿宋_GBK" w:cs="Times New Roman"/>
                <w:color w:val="000000"/>
                <w:spacing w:val="-6"/>
              </w:rPr>
              <w:t>加强对“一站式”医保结算过程监管，优化异地、在线结算流程。逐步形成医疗卫生机构与医保经办机构间的数据共享机制。</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加强大数据等技术的应用，提升医保资金监管分析能力。</w:t>
            </w:r>
          </w:p>
        </w:tc>
        <w:tc>
          <w:tcPr>
            <w:tcW w:w="2835"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构建起互联网医保管理业务闭环，实现医保结算全流程监测。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建立医疗</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卫生监督</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管理机制</w:t>
            </w:r>
          </w:p>
        </w:tc>
        <w:tc>
          <w:tcPr>
            <w:tcW w:w="5728" w:type="dxa"/>
            <w:gridSpan w:val="2"/>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医疗监管系统，初步实现医疗行为监管的数字化、医疗卫生机构评级的规范化。依托自治区卫生监督执法系统，重点实现水质监测、公共场所健康危害监测等功能。依托自治区公立医院综合监管系统，开展医院经济运行数据报送和综合分析应用。</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拓展和延伸卫生监管能力，基本实现互联网医疗全过程、全要素监管。互联网医院设立监管部门，将执业医生行为纳入医疗卫生机构医生绩效考核和等级评审。</w:t>
            </w:r>
          </w:p>
        </w:tc>
        <w:tc>
          <w:tcPr>
            <w:tcW w:w="2835"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依托自治区建立的统一的医疗卫生机构、诊疗行为、公共卫生联动监管机制，实现“互联网+医疗健康”服务数据全程留痕，可查询、可追溯，满足行业监管需求。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ind w:left="0" w:firstLine="0"/>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建立医疗</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卫生评价</w:t>
            </w:r>
          </w:p>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网络</w:t>
            </w:r>
          </w:p>
        </w:tc>
        <w:tc>
          <w:tcPr>
            <w:tcW w:w="2977"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做好全市各级各类医院合理检查、合理用药、诊疗质量、服务规范等方面评价，健全激励及绩效评价机制。</w:t>
            </w:r>
          </w:p>
        </w:tc>
        <w:tc>
          <w:tcPr>
            <w:tcW w:w="2751"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完善医院服务及医务人员评价体系，实现“以评促建”的长效工作机制。</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深化完善卫生健康行政、医院服务、医务人员评估体系及应用工作。</w:t>
            </w:r>
          </w:p>
        </w:tc>
        <w:tc>
          <w:tcPr>
            <w:tcW w:w="2835"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建成覆盖医疗卫生质量、人员技术、医疗卫生机构层次等不同对象的数字化评价体系。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52" w:type="dxa"/>
            <w:vAlign w:val="center"/>
          </w:tcPr>
          <w:p>
            <w:pPr>
              <w:pStyle w:val="4"/>
              <w:widowControl w:val="0"/>
              <w:numPr>
                <w:ilvl w:val="0"/>
                <w:numId w:val="1"/>
              </w:numPr>
              <w:spacing w:before="0" w:beforeAutospacing="0" w:after="0" w:afterAutospacing="0" w:line="360" w:lineRule="exact"/>
              <w:jc w:val="center"/>
              <w:rPr>
                <w:rFonts w:ascii="Times New Roman" w:hAnsi="Times New Roman" w:eastAsia="楷体_GB2312" w:cs="Times New Roman"/>
                <w:b/>
                <w:color w:val="000000"/>
                <w:sz w:val="28"/>
                <w:szCs w:val="28"/>
              </w:rPr>
            </w:pPr>
          </w:p>
        </w:tc>
        <w:tc>
          <w:tcPr>
            <w:tcW w:w="1701" w:type="dxa"/>
            <w:vAlign w:val="center"/>
          </w:tcPr>
          <w:p>
            <w:pPr>
              <w:pStyle w:val="4"/>
              <w:widowControl w:val="0"/>
              <w:spacing w:before="0" w:beforeAutospacing="0" w:after="0" w:afterAutospacing="0" w:line="340" w:lineRule="exact"/>
              <w:jc w:val="center"/>
              <w:rPr>
                <w:rFonts w:hint="eastAsia" w:ascii="方正楷体_GBK" w:hAnsi="Times New Roman" w:eastAsia="方正楷体_GBK" w:cs="Times New Roman"/>
                <w:b/>
                <w:color w:val="000000"/>
                <w:sz w:val="28"/>
                <w:szCs w:val="28"/>
              </w:rPr>
            </w:pPr>
            <w:r>
              <w:rPr>
                <w:rFonts w:hint="eastAsia" w:ascii="方正楷体_GBK" w:hAnsi="Times New Roman" w:eastAsia="方正楷体_GBK" w:cs="Times New Roman"/>
                <w:b/>
                <w:color w:val="000000"/>
                <w:sz w:val="28"/>
                <w:szCs w:val="28"/>
              </w:rPr>
              <w:t>加快吴忠市人民医院信息化建设</w:t>
            </w:r>
          </w:p>
        </w:tc>
        <w:tc>
          <w:tcPr>
            <w:tcW w:w="2977"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推进医院电子病历信息系统3级评级工作，新建手术麻醉管理等信息系统。初步建成市级影像诊断中心、电生理诊断中心等，拓展在线支付、移动支付模式，推进医保自助结算等便民惠民服务。</w:t>
            </w:r>
          </w:p>
        </w:tc>
        <w:tc>
          <w:tcPr>
            <w:tcW w:w="2751"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推进医院电子病历信息系统4级评级工作，申请互联网医院牌照，与大数据运营公司对接，逐步挖掘医疗大数据潜力。完善远程诊断平台功能，通过5G等技术实现移动护理、医疗等业务应用。</w:t>
            </w:r>
          </w:p>
        </w:tc>
        <w:tc>
          <w:tcPr>
            <w:tcW w:w="2918"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持续推进医院电子病历信息系统评价工作，完善医院信息系统平台建设，建设并完善医院HRP系统，实现医院全数据分析处理。做好医院信息系统安全等级保护工作。</w:t>
            </w:r>
          </w:p>
        </w:tc>
        <w:tc>
          <w:tcPr>
            <w:tcW w:w="2835" w:type="dxa"/>
            <w:vAlign w:val="center"/>
          </w:tcPr>
          <w:p>
            <w:pPr>
              <w:pStyle w:val="4"/>
              <w:widowControl w:val="0"/>
              <w:spacing w:before="0" w:beforeAutospacing="0" w:after="0" w:afterAutospacing="0" w:line="300" w:lineRule="exact"/>
              <w:jc w:val="both"/>
              <w:rPr>
                <w:rFonts w:hint="eastAsia" w:ascii="方正仿宋_GBK" w:hAnsi="Times New Roman" w:eastAsia="方正仿宋_GBK" w:cs="Times New Roman"/>
                <w:color w:val="000000"/>
              </w:rPr>
            </w:pPr>
            <w:r>
              <w:rPr>
                <w:rFonts w:hint="eastAsia" w:ascii="方正仿宋_GBK" w:hAnsi="Times New Roman" w:eastAsia="方正仿宋_GBK" w:cs="Times New Roman"/>
                <w:color w:val="000000"/>
              </w:rPr>
              <w:t>持续推进医院电子病历信息系统评价工作，完成互联互通标准化成熟度测评，将医院建设成模式先进、流程优化、管理配套、支撑有力、运作高效的现代化、智能化数字医院。</w:t>
            </w:r>
          </w:p>
        </w:tc>
      </w:tr>
    </w:tbl>
    <w:p/>
    <w:p>
      <w:pPr>
        <w:tabs>
          <w:tab w:val="left" w:pos="8789"/>
        </w:tabs>
        <w:wordWrap w:val="0"/>
        <w:spacing w:line="560" w:lineRule="exact"/>
        <w:ind w:right="1708"/>
        <w:rPr>
          <w:rFonts w:ascii="方正仿宋_GBK" w:eastAsia="方正仿宋_GBK"/>
          <w:sz w:val="28"/>
          <w:szCs w:val="28"/>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1701" w:bottom="1361" w:left="1701" w:header="851" w:footer="1134"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8"/>
      </w:rPr>
    </w:pPr>
    <w:r>
      <w:rPr>
        <w:rFonts w:ascii="宋体" w:hAnsi="宋体"/>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27</w:t>
    </w:r>
    <w:r>
      <w:rPr>
        <w:rFonts w:ascii="宋体" w:hAnsi="宋体"/>
        <w:kern w:val="0"/>
        <w:sz w:val="28"/>
      </w:rPr>
      <w:fldChar w:fldCharType="end"/>
    </w:r>
    <w:r>
      <w:rPr>
        <w:rFonts w:ascii="宋体" w:hAnsi="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sz w:val="28"/>
      </w:rPr>
      <w:t>34</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6A7B"/>
    <w:multiLevelType w:val="multilevel"/>
    <w:tmpl w:val="44996A7B"/>
    <w:lvl w:ilvl="0" w:tentative="0">
      <w:start w:val="1"/>
      <w:numFmt w:val="decimal"/>
      <w:lvlText w:val="%1"/>
      <w:lvlJc w:val="left"/>
      <w:pPr>
        <w:ind w:left="420" w:hanging="420"/>
      </w:pPr>
      <w:rPr>
        <w:rFonts w:hint="eastAsia" w:eastAsia="楷体_GB2312"/>
        <w:b/>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26E82"/>
    <w:rsid w:val="26C26E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tabs>
        <w:tab w:val="center" w:pos="4153"/>
        <w:tab w:val="right" w:pos="8306"/>
      </w:tabs>
      <w:snapToGrid w:val="0"/>
      <w:jc w:val="center"/>
    </w:pPr>
    <w:rPr>
      <w:sz w:val="18"/>
    </w:rPr>
  </w:style>
  <w:style w:type="paragraph" w:styleId="4">
    <w:name w:val="Normal (Web)"/>
    <w:basedOn w:val="1"/>
    <w:uiPriority w:val="0"/>
    <w:pPr>
      <w:widowControl/>
      <w:spacing w:before="100" w:beforeAutospacing="1" w:after="100" w:afterAutospacing="1" w:line="270" w:lineRule="atLeast"/>
      <w:jc w:val="left"/>
    </w:pPr>
    <w:rPr>
      <w:rFonts w:ascii="宋体" w:hAnsi="宋体" w:cs="宋体"/>
      <w:kern w:val="0"/>
      <w:sz w:val="24"/>
      <w:szCs w:val="24"/>
    </w:rPr>
  </w:style>
  <w:style w:type="paragraph" w:customStyle="1" w:styleId="7">
    <w:name w:val="2.普段"/>
    <w:basedOn w:val="1"/>
    <w:qFormat/>
    <w:uiPriority w:val="0"/>
    <w:pPr>
      <w:spacing w:line="560" w:lineRule="exact"/>
      <w:ind w:firstLine="200" w:firstLineChars="200"/>
    </w:pPr>
    <w:rPr>
      <w:rFonts w:ascii="仿宋" w:hAnsi="仿宋" w:eastAsia="仿宋_GB2312"/>
      <w:sz w:val="32"/>
      <w:szCs w:val="22"/>
    </w:rPr>
  </w:style>
  <w:style w:type="paragraph" w:customStyle="1" w:styleId="8">
    <w:name w:val="1.卫标"/>
    <w:basedOn w:val="1"/>
    <w:qFormat/>
    <w:uiPriority w:val="0"/>
    <w:pPr>
      <w:spacing w:line="660" w:lineRule="exact"/>
      <w:jc w:val="center"/>
    </w:pPr>
    <w:rPr>
      <w:rFonts w:ascii="方正小标宋_GBK" w:hAnsi="Calibri" w:eastAsia="方正小标宋_GBK"/>
      <w:sz w:val="4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2019-09-26T10:00:00Z</dcterms:created>
  <dc:creator>吴忠市政府办公室收文员</dc:creator>
  <cp:lastModifiedBy>吴忠市政府办公室收文员</cp:lastModifiedBy>
  <dcterms:modified xsi:type="dcterms:W3CDTF">2019-09-26T10:01:11Z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