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8" w:beforeLines="100" w:line="580" w:lineRule="exact"/>
        <w:ind w:left="0" w:leftChars="0" w:right="0" w:rightChars="0" w:firstLine="0" w:firstLineChars="0"/>
        <w:jc w:val="center"/>
        <w:textAlignment w:val="auto"/>
        <w:outlineLvl w:val="9"/>
        <w:rPr>
          <w:rFonts w:ascii="仿宋" w:hAnsi="仿宋" w:eastAsia="仿宋" w:cs="仿宋"/>
          <w:sz w:val="32"/>
          <w:szCs w:val="32"/>
        </w:rPr>
      </w:pPr>
      <w:r>
        <w:rPr>
          <w:rFonts w:hint="eastAsia" w:ascii="仿宋" w:hAnsi="仿宋" w:eastAsia="仿宋" w:cs="仿宋"/>
          <w:sz w:val="32"/>
          <w:szCs w:val="32"/>
        </w:rPr>
        <w:t>吴交审发〔2020〕1号</w:t>
      </w:r>
    </w:p>
    <w:p>
      <w:pPr>
        <w:spacing w:line="580" w:lineRule="exact"/>
        <w:jc w:val="center"/>
        <w:rPr>
          <w:rFonts w:ascii="方正小标宋_GBK" w:hAnsi="方正小标宋_GBK" w:eastAsia="方正小标宋_GBK" w:cs="方正小标宋_GBK"/>
          <w:sz w:val="44"/>
          <w:szCs w:val="44"/>
        </w:rPr>
      </w:pPr>
    </w:p>
    <w:p>
      <w:pPr>
        <w:spacing w:line="580" w:lineRule="exact"/>
        <w:jc w:val="center"/>
        <w:rPr>
          <w:rFonts w:ascii="方正小标宋简体" w:hAnsi="黑体" w:eastAsia="方正小标宋简体"/>
          <w:sz w:val="44"/>
          <w:szCs w:val="44"/>
        </w:rPr>
      </w:pPr>
      <w:r>
        <w:rPr>
          <w:rFonts w:hint="eastAsia" w:ascii="方正小标宋_GBK" w:hAnsi="方正小标宋_GBK" w:eastAsia="方正小标宋_GBK" w:cs="方正小标宋_GBK"/>
          <w:spacing w:val="31"/>
          <w:sz w:val="44"/>
          <w:szCs w:val="44"/>
        </w:rPr>
        <w:t>吴忠市交通运输局</w:t>
      </w:r>
    </w:p>
    <w:p>
      <w:pPr>
        <w:spacing w:line="580" w:lineRule="exact"/>
        <w:jc w:val="center"/>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z w:val="44"/>
          <w:szCs w:val="44"/>
        </w:rPr>
        <w:t>关于吴忠市</w:t>
      </w:r>
      <w:r>
        <w:rPr>
          <w:rFonts w:hint="eastAsia" w:ascii="方正小标宋_GBK" w:hAnsi="方正小标宋_GBK" w:eastAsia="方正小标宋_GBK" w:cs="方正小标宋_GBK"/>
          <w:spacing w:val="-11"/>
          <w:sz w:val="44"/>
          <w:szCs w:val="44"/>
        </w:rPr>
        <w:t>利通区清四沟公路和南梁村</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pacing w:val="-11"/>
          <w:sz w:val="44"/>
          <w:szCs w:val="44"/>
        </w:rPr>
        <w:t>二队至白黄路</w:t>
      </w:r>
      <w:r>
        <w:rPr>
          <w:rFonts w:hint="eastAsia" w:ascii="方正小标宋_GBK" w:hAnsi="方正小标宋_GBK" w:eastAsia="方正小标宋_GBK" w:cs="方正小标宋_GBK"/>
          <w:sz w:val="44"/>
          <w:szCs w:val="44"/>
        </w:rPr>
        <w:t>一阶段施工图设计</w:t>
      </w:r>
      <w:r>
        <w:rPr>
          <w:rFonts w:hint="eastAsia" w:ascii="方正小标宋简体" w:hAnsi="方正小标宋简体" w:eastAsia="方正小标宋简体" w:cs="方正小标宋简体"/>
          <w:sz w:val="44"/>
          <w:szCs w:val="44"/>
        </w:rPr>
        <w:t>的批复</w:t>
      </w:r>
    </w:p>
    <w:p>
      <w:pPr>
        <w:spacing w:line="56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利通区住房城乡建设和交通局: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你局报来《关于呈报吴忠市利通区清四沟公路和南梁村二队至白黄路一阶段施工图设计文件的请示》(吴利住建交发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17号)文件</w:t>
      </w:r>
      <w:r>
        <w:rPr>
          <w:rFonts w:hint="eastAsia" w:ascii="仿宋_GB2312" w:hAnsi="仿宋_GB2312" w:eastAsia="仿宋_GB2312" w:cs="仿宋_GB2312"/>
          <w:w w:val="90"/>
          <w:sz w:val="32"/>
          <w:szCs w:val="32"/>
        </w:rPr>
        <w:t>及</w:t>
      </w:r>
      <w:r>
        <w:rPr>
          <w:rFonts w:hint="eastAsia" w:ascii="仿宋_GB2312" w:hAnsi="仿宋_GB2312" w:eastAsia="仿宋_GB2312" w:cs="仿宋_GB2312"/>
          <w:w w:val="97"/>
          <w:sz w:val="32"/>
          <w:szCs w:val="32"/>
        </w:rPr>
        <w:t>相关附件已收悉,</w:t>
      </w:r>
      <w:r>
        <w:rPr>
          <w:rFonts w:hint="eastAsia" w:ascii="仿宋_GB2312" w:hAnsi="仿宋_GB2312" w:eastAsia="仿宋_GB2312" w:cs="仿宋_GB2312"/>
          <w:sz w:val="32"/>
          <w:szCs w:val="32"/>
        </w:rPr>
        <w:t>根据</w:t>
      </w:r>
      <w:r>
        <w:rPr>
          <w:rFonts w:hint="eastAsia" w:ascii="仿宋_GB2312" w:eastAsia="仿宋_GB2312"/>
          <w:sz w:val="32"/>
          <w:szCs w:val="32"/>
        </w:rPr>
        <w:t>《吴忠市发展和改革委员会</w:t>
      </w:r>
      <w:r>
        <w:rPr>
          <w:rFonts w:hint="eastAsia" w:ascii="仿宋_GB2312" w:hAnsi="仿宋_GB2312" w:eastAsia="仿宋_GB2312" w:cs="仿宋_GB2312"/>
          <w:spacing w:val="6"/>
          <w:sz w:val="32"/>
          <w:szCs w:val="32"/>
        </w:rPr>
        <w:t>关于</w:t>
      </w:r>
      <w:r>
        <w:rPr>
          <w:rFonts w:hint="eastAsia" w:ascii="仿宋_GB2312" w:hAnsi="仿宋_GB2312" w:eastAsia="仿宋_GB2312" w:cs="仿宋_GB2312"/>
          <w:sz w:val="32"/>
          <w:szCs w:val="32"/>
        </w:rPr>
        <w:t>吴忠市利通区清四沟公路建设方案的批复》（吴发改审发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192号）和南梁村二队至白黄路</w:t>
      </w:r>
      <w:r>
        <w:rPr>
          <w:rFonts w:hint="eastAsia" w:ascii="仿宋_GB2312" w:hAnsi="仿宋_GB2312" w:eastAsia="仿宋_GB2312" w:cs="仿宋_GB2312"/>
          <w:spacing w:val="6"/>
          <w:sz w:val="32"/>
          <w:szCs w:val="32"/>
        </w:rPr>
        <w:t>项目</w:t>
      </w:r>
      <w:r>
        <w:rPr>
          <w:rFonts w:hint="eastAsia" w:ascii="仿宋_GB2312" w:hAnsi="仿宋_GB2312" w:eastAsia="仿宋_GB2312" w:cs="仿宋_GB2312"/>
          <w:sz w:val="32"/>
          <w:szCs w:val="32"/>
        </w:rPr>
        <w:t>建设方案的批复》（吴发改审发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191号）文件确定的建设规</w:t>
      </w:r>
      <w:r>
        <w:rPr>
          <w:rFonts w:hint="eastAsia" w:ascii="仿宋_GB2312" w:hAnsi="仿宋_GB2312" w:eastAsia="仿宋_GB2312" w:cs="仿宋_GB2312"/>
          <w:sz w:val="32"/>
          <w:szCs w:val="32"/>
          <w:lang w:eastAsia="zh-CN"/>
        </w:rPr>
        <w:t>模</w:t>
      </w:r>
      <w:bookmarkStart w:id="0" w:name="_GoBack"/>
      <w:bookmarkEnd w:id="0"/>
      <w:r>
        <w:rPr>
          <w:rFonts w:hint="eastAsia" w:ascii="仿宋_GB2312" w:hAnsi="仿宋_GB2312" w:eastAsia="仿宋_GB2312" w:cs="仿宋_GB2312"/>
          <w:sz w:val="32"/>
          <w:szCs w:val="32"/>
        </w:rPr>
        <w:t>、技术标准和总投资,经审查施工图设计，批复如下: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黑体" w:hAnsi="黑体" w:eastAsia="黑体"/>
          <w:bCs/>
          <w:sz w:val="32"/>
          <w:szCs w:val="32"/>
        </w:rPr>
      </w:pPr>
      <w:r>
        <w:rPr>
          <w:rFonts w:hint="eastAsia" w:ascii="黑体" w:hAnsi="黑体" w:eastAsia="黑体"/>
          <w:bCs/>
          <w:sz w:val="32"/>
          <w:szCs w:val="32"/>
        </w:rPr>
        <w:t>一、</w:t>
      </w:r>
      <w:r>
        <w:rPr>
          <w:rFonts w:hint="eastAsia" w:ascii="黑体" w:hAnsi="黑体" w:eastAsia="黑体" w:cs="黑体"/>
          <w:sz w:val="32"/>
          <w:szCs w:val="32"/>
        </w:rPr>
        <w:t>吴忠市利通区清四沟公路</w:t>
      </w:r>
    </w:p>
    <w:p>
      <w:pPr>
        <w:keepNext w:val="0"/>
        <w:keepLines w:val="0"/>
        <w:pageBreakBefore w:val="0"/>
        <w:widowControl w:val="0"/>
        <w:tabs>
          <w:tab w:val="left" w:pos="3345"/>
        </w:tabs>
        <w:kinsoku/>
        <w:wordWrap/>
        <w:overflowPunct/>
        <w:topLinePunct w:val="0"/>
        <w:autoSpaceDE/>
        <w:autoSpaceDN/>
        <w:bidi w:val="0"/>
        <w:adjustRightInd/>
        <w:snapToGrid/>
        <w:spacing w:line="540" w:lineRule="exact"/>
        <w:ind w:left="0" w:leftChars="0" w:right="0" w:rightChars="0"/>
        <w:textAlignment w:val="auto"/>
        <w:outlineLvl w:val="9"/>
        <w:rPr>
          <w:rFonts w:ascii="楷体_GB2312" w:hAnsi="宋体" w:eastAsia="楷体_GB2312"/>
          <w:b/>
          <w:sz w:val="32"/>
          <w:szCs w:val="32"/>
        </w:rPr>
      </w:pPr>
      <w:r>
        <w:rPr>
          <w:rFonts w:hint="eastAsia" w:ascii="楷体_GB2312" w:hAnsi="宋体" w:eastAsia="楷体_GB2312"/>
          <w:b/>
          <w:sz w:val="32"/>
          <w:szCs w:val="32"/>
          <w:lang w:val="en-US" w:eastAsia="zh-CN"/>
        </w:rPr>
        <w:t xml:space="preserve">    </w:t>
      </w:r>
      <w:r>
        <w:rPr>
          <w:rFonts w:hint="eastAsia" w:ascii="楷体_GB2312" w:hAnsi="宋体" w:eastAsia="楷体_GB2312"/>
          <w:b/>
          <w:sz w:val="32"/>
          <w:szCs w:val="32"/>
        </w:rPr>
        <w:t>（一）建设规模及走向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sectPr>
          <w:footerReference r:id="rId4" w:type="first"/>
          <w:footerReference r:id="rId3" w:type="default"/>
          <w:pgSz w:w="11906" w:h="16838"/>
          <w:pgMar w:top="2098" w:right="1474" w:bottom="2041" w:left="1587" w:header="851" w:footer="992" w:gutter="0"/>
          <w:pgNumType w:fmt="numberInDash"/>
          <w:cols w:space="720" w:num="1"/>
          <w:rtlGutter w:val="0"/>
          <w:docGrid w:type="lines" w:linePitch="317" w:charSpace="0"/>
        </w:sect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吴忠市利通区清四沟公路包括一条主线三条支线，路线全长 6.727公里。其中主线长3.262公里，主线起点柴桥4队，终点南干沟；支线一长1.037公里，起点慈善大道，终点马莲渠十队硬化路；支线二长0.958公里，起点马家桥村硬化路，终点田桥村硬化路；支线三长1.47公里，起点候汉路，终点高闸村2队。项目为新建。</w:t>
      </w:r>
    </w:p>
    <w:p>
      <w:pPr>
        <w:keepNext w:val="0"/>
        <w:keepLines w:val="0"/>
        <w:pageBreakBefore w:val="0"/>
        <w:widowControl w:val="0"/>
        <w:tabs>
          <w:tab w:val="left" w:pos="3345"/>
        </w:tabs>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ascii="楷体_GB2312" w:hAnsi="宋体" w:eastAsia="楷体_GB2312"/>
          <w:b/>
          <w:sz w:val="32"/>
          <w:szCs w:val="32"/>
        </w:rPr>
      </w:pPr>
      <w:r>
        <w:rPr>
          <w:rFonts w:hint="eastAsia" w:ascii="楷体_GB2312" w:hAnsi="宋体" w:eastAsia="楷体_GB2312"/>
          <w:b/>
          <w:sz w:val="32"/>
          <w:szCs w:val="32"/>
        </w:rPr>
        <w:t>（二）设计标准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 w:eastAsia="仿宋_GB2312"/>
          <w:sz w:val="32"/>
          <w:szCs w:val="32"/>
        </w:rPr>
        <w:t>原则同意</w:t>
      </w:r>
      <w:r>
        <w:rPr>
          <w:rFonts w:hint="eastAsia" w:ascii="仿宋_GB2312" w:hAnsi="仿宋_GB2312" w:eastAsia="仿宋_GB2312" w:cs="仿宋_GB2312"/>
          <w:sz w:val="32"/>
          <w:szCs w:val="32"/>
        </w:rPr>
        <w:t>吴忠市利通区清四沟公路按照《公路工程技术标准》(JTG B01-2014)采用四级公路标准建设，设计速度为20公里/时，路基宽6米，路面宽5米，两侧各设0.5米宽18厘米厚砂砾加固路肩，桥涵荷载标准为公路-Ⅱ级，设计洪水频率：涵洞1/25，地震动峰值加速度系数按0.2g设防（相当于Ⅷ度地震基本烈度）。</w:t>
      </w:r>
    </w:p>
    <w:p>
      <w:pPr>
        <w:keepNext w:val="0"/>
        <w:keepLines w:val="0"/>
        <w:pageBreakBefore w:val="0"/>
        <w:widowControl w:val="0"/>
        <w:tabs>
          <w:tab w:val="left" w:pos="3345"/>
        </w:tabs>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ascii="楷体_GB2312" w:hAnsi="宋体" w:eastAsia="楷体_GB2312"/>
          <w:b/>
          <w:sz w:val="32"/>
          <w:szCs w:val="32"/>
        </w:rPr>
      </w:pPr>
      <w:r>
        <w:rPr>
          <w:rFonts w:hint="eastAsia" w:ascii="楷体_GB2312" w:hAnsi="宋体" w:eastAsia="楷体_GB2312"/>
          <w:b/>
          <w:sz w:val="32"/>
          <w:szCs w:val="32"/>
        </w:rPr>
        <w:t>（三）路面结构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 w:eastAsia="仿宋_GB2312"/>
          <w:sz w:val="32"/>
          <w:szCs w:val="32"/>
        </w:rPr>
        <w:t>原则同意</w:t>
      </w:r>
      <w:r>
        <w:rPr>
          <w:rFonts w:hint="eastAsia" w:ascii="仿宋_GB2312" w:hAnsi="仿宋_GB2312" w:eastAsia="仿宋_GB2312" w:cs="仿宋_GB2312"/>
          <w:sz w:val="32"/>
          <w:szCs w:val="32"/>
        </w:rPr>
        <w:t>吴忠市利通区清四沟公路施工图设计路面结构采用：水泥混凝土路面，面层为18厘米水泥混凝土，基层为20厘米级配砂砾，路面总厚度38厘米。</w:t>
      </w:r>
    </w:p>
    <w:p>
      <w:pPr>
        <w:keepNext w:val="0"/>
        <w:keepLines w:val="0"/>
        <w:pageBreakBefore w:val="0"/>
        <w:widowControl w:val="0"/>
        <w:tabs>
          <w:tab w:val="left" w:pos="3345"/>
        </w:tabs>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hint="eastAsia" w:ascii="楷体_GB2312" w:hAnsi="宋体" w:eastAsia="楷体_GB2312"/>
          <w:b/>
          <w:sz w:val="32"/>
          <w:szCs w:val="32"/>
        </w:rPr>
      </w:pPr>
      <w:r>
        <w:rPr>
          <w:rFonts w:hint="eastAsia" w:ascii="楷体_GB2312" w:hAnsi="宋体" w:eastAsia="楷体_GB2312"/>
          <w:b/>
          <w:sz w:val="32"/>
          <w:szCs w:val="32"/>
        </w:rPr>
        <w:t>（四）桥涵、排水及安全设施</w:t>
      </w:r>
    </w:p>
    <w:p>
      <w:pPr>
        <w:keepNext w:val="0"/>
        <w:keepLines w:val="0"/>
        <w:pageBreakBefore w:val="0"/>
        <w:widowControl w:val="0"/>
        <w:tabs>
          <w:tab w:val="left" w:pos="3345"/>
        </w:tabs>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hint="eastAsia" w:ascii="仿宋_GB2312" w:hAnsi="宋体" w:eastAsia="仿宋_GB2312"/>
          <w:sz w:val="32"/>
          <w:szCs w:val="32"/>
        </w:rPr>
      </w:pPr>
      <w:r>
        <w:rPr>
          <w:rFonts w:hint="eastAsia" w:ascii="仿宋_GB2312" w:hAnsi="仿宋" w:eastAsia="仿宋_GB2312"/>
          <w:sz w:val="32"/>
          <w:szCs w:val="32"/>
        </w:rPr>
        <w:t>原则同意</w:t>
      </w:r>
      <w:r>
        <w:rPr>
          <w:rFonts w:hint="eastAsia" w:ascii="仿宋_GB2312" w:hAnsi="仿宋_GB2312" w:eastAsia="仿宋_GB2312" w:cs="仿宋_GB2312"/>
          <w:sz w:val="32"/>
          <w:szCs w:val="32"/>
        </w:rPr>
        <w:t>吴忠市利通区清四沟公路</w:t>
      </w:r>
      <w:r>
        <w:rPr>
          <w:rFonts w:hint="eastAsia" w:ascii="仿宋" w:hAnsi="仿宋" w:eastAsia="仿宋"/>
          <w:sz w:val="32"/>
          <w:szCs w:val="32"/>
        </w:rPr>
        <w:t>全线共设置涵洞68道，明板涵1道、暗板涵4道、钢筋混凝土圆管涵32道、钢管涵31道。全线共设置标志、标牌41块，波形钢护栏6606延米，限高架2处</w:t>
      </w:r>
      <w:r>
        <w:rPr>
          <w:rFonts w:hint="eastAsia" w:ascii="仿宋_GB2312" w:hAnsi="仿宋" w:eastAsia="仿宋_GB2312"/>
          <w:sz w:val="32"/>
          <w:szCs w:val="32"/>
        </w:rPr>
        <w:t>。</w:t>
      </w:r>
    </w:p>
    <w:p>
      <w:pPr>
        <w:keepNext w:val="0"/>
        <w:keepLines w:val="0"/>
        <w:pageBreakBefore w:val="0"/>
        <w:widowControl w:val="0"/>
        <w:tabs>
          <w:tab w:val="left" w:pos="3345"/>
        </w:tabs>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ascii="楷体_GB2312" w:hAnsi="宋体" w:eastAsia="楷体_GB2312"/>
          <w:b/>
          <w:sz w:val="32"/>
          <w:szCs w:val="32"/>
        </w:rPr>
      </w:pPr>
      <w:r>
        <w:rPr>
          <w:rFonts w:hint="eastAsia" w:ascii="楷体_GB2312" w:hAnsi="宋体" w:eastAsia="楷体_GB2312"/>
          <w:b/>
          <w:sz w:val="32"/>
          <w:szCs w:val="32"/>
        </w:rPr>
        <w:t>（五）工程预算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仿宋_GB2312" w:eastAsia="仿宋_GB2312" w:cs="仿宋_GB2312"/>
          <w:spacing w:val="-20"/>
          <w:sz w:val="32"/>
          <w:szCs w:val="32"/>
        </w:rPr>
      </w:pPr>
      <w:r>
        <w:rPr>
          <w:rFonts w:hint="eastAsia" w:ascii="仿宋_GB2312" w:hAnsi="宋体" w:eastAsia="仿宋_GB2312"/>
          <w:spacing w:val="-20"/>
          <w:sz w:val="32"/>
          <w:szCs w:val="32"/>
        </w:rPr>
        <w:t>经审定</w:t>
      </w:r>
      <w:r>
        <w:rPr>
          <w:rFonts w:hint="eastAsia" w:ascii="仿宋_GB2312" w:hAnsi="仿宋_GB2312" w:eastAsia="仿宋_GB2312" w:cs="仿宋_GB2312"/>
          <w:spacing w:val="-20"/>
          <w:sz w:val="32"/>
          <w:szCs w:val="32"/>
        </w:rPr>
        <w:t>吴忠市利通区清四沟公路项目工程预算 890.904万元。</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line="540" w:lineRule="exact"/>
        <w:ind w:left="0" w:leftChars="0" w:right="0" w:rightChars="0"/>
        <w:textAlignment w:val="auto"/>
        <w:outlineLvl w:val="9"/>
        <w:rPr>
          <w:rFonts w:ascii="黑体" w:hAnsi="黑体" w:eastAsia="黑体" w:cs="黑体"/>
          <w:sz w:val="32"/>
          <w:szCs w:val="32"/>
        </w:rPr>
      </w:pPr>
      <w:r>
        <w:rPr>
          <w:rFonts w:hint="eastAsia" w:ascii="黑体" w:hAnsi="黑体" w:eastAsia="黑体" w:cs="黑体"/>
          <w:sz w:val="32"/>
          <w:szCs w:val="32"/>
        </w:rPr>
        <w:t>吴忠市利通区南梁村二队至白黄路</w:t>
      </w:r>
    </w:p>
    <w:p>
      <w:pPr>
        <w:keepNext w:val="0"/>
        <w:keepLines w:val="0"/>
        <w:pageBreakBefore w:val="0"/>
        <w:widowControl w:val="0"/>
        <w:tabs>
          <w:tab w:val="left" w:pos="3345"/>
        </w:tabs>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ascii="楷体_GB2312" w:hAnsi="宋体" w:eastAsia="楷体_GB2312"/>
          <w:b/>
          <w:sz w:val="32"/>
          <w:szCs w:val="32"/>
        </w:rPr>
      </w:pPr>
      <w:r>
        <w:rPr>
          <w:rFonts w:hint="eastAsia" w:ascii="楷体_GB2312" w:hAnsi="宋体" w:eastAsia="楷体_GB2312"/>
          <w:b/>
          <w:sz w:val="32"/>
          <w:szCs w:val="32"/>
        </w:rPr>
        <w:t>（一）建设规模及走向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利通区南梁村二队至白黄路公路，全长2.06公里，路线总体呈东西走向，起点位于白黄公路，终点与南梁村水泥混凝土路相交。项目为新建。</w:t>
      </w:r>
    </w:p>
    <w:p>
      <w:pPr>
        <w:keepNext w:val="0"/>
        <w:keepLines w:val="0"/>
        <w:pageBreakBefore w:val="0"/>
        <w:widowControl w:val="0"/>
        <w:tabs>
          <w:tab w:val="left" w:pos="3345"/>
        </w:tabs>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ascii="楷体_GB2312" w:hAnsi="宋体" w:eastAsia="楷体_GB2312"/>
          <w:b/>
          <w:sz w:val="32"/>
          <w:szCs w:val="32"/>
        </w:rPr>
      </w:pPr>
      <w:r>
        <w:rPr>
          <w:rFonts w:hint="eastAsia" w:ascii="楷体_GB2312" w:hAnsi="宋体" w:eastAsia="楷体_GB2312"/>
          <w:b/>
          <w:sz w:val="32"/>
          <w:szCs w:val="32"/>
        </w:rPr>
        <w:t>（二）设计标准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 w:eastAsia="仿宋_GB2312"/>
          <w:sz w:val="32"/>
          <w:szCs w:val="32"/>
        </w:rPr>
        <w:t>原则同意</w:t>
      </w:r>
      <w:r>
        <w:rPr>
          <w:rFonts w:hint="eastAsia" w:ascii="仿宋_GB2312" w:hAnsi="仿宋_GB2312" w:eastAsia="仿宋_GB2312" w:cs="仿宋_GB2312"/>
          <w:sz w:val="32"/>
          <w:szCs w:val="32"/>
        </w:rPr>
        <w:t>利通区南梁村二队至白黄路按照《公路工程技术标准》(JTG B01-2014)采用四级公路标准建设，设计速度为20公里/时，路基宽5.5米，路面宽4.5米，两侧各设0.5米宽18厘米厚砂砾加固路肩，桥涵荷载标准为公路-Ⅱ级，设计洪水频率：涵洞1/25，地震动峰值加速度系数按0.2g设防（相当于Ⅷ度地震基本烈度）。</w:t>
      </w:r>
    </w:p>
    <w:p>
      <w:pPr>
        <w:keepNext w:val="0"/>
        <w:keepLines w:val="0"/>
        <w:pageBreakBefore w:val="0"/>
        <w:widowControl w:val="0"/>
        <w:tabs>
          <w:tab w:val="left" w:pos="3345"/>
        </w:tabs>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ascii="楷体_GB2312" w:hAnsi="宋体" w:eastAsia="楷体_GB2312"/>
          <w:b/>
          <w:sz w:val="32"/>
          <w:szCs w:val="32"/>
        </w:rPr>
      </w:pPr>
      <w:r>
        <w:rPr>
          <w:rFonts w:hint="eastAsia" w:ascii="楷体_GB2312" w:hAnsi="宋体" w:eastAsia="楷体_GB2312"/>
          <w:b/>
          <w:sz w:val="32"/>
          <w:szCs w:val="32"/>
        </w:rPr>
        <w:t>（三）路面结构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 w:eastAsia="仿宋_GB2312"/>
          <w:sz w:val="32"/>
          <w:szCs w:val="32"/>
        </w:rPr>
        <w:t>原则同意</w:t>
      </w:r>
      <w:r>
        <w:rPr>
          <w:rFonts w:hint="eastAsia" w:ascii="仿宋_GB2312" w:hAnsi="仿宋_GB2312" w:eastAsia="仿宋_GB2312" w:cs="仿宋_GB2312"/>
          <w:sz w:val="32"/>
          <w:szCs w:val="32"/>
        </w:rPr>
        <w:t>利通区南梁村二队至白黄路施工图设计路面结构采用：水泥混凝土路面，面层为18厘米水泥混凝土，基层为20厘米级配砂砾，路面总厚度38厘米</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3345"/>
        </w:tabs>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hint="eastAsia" w:ascii="楷体_GB2312" w:hAnsi="宋体" w:eastAsia="楷体_GB2312"/>
          <w:b/>
          <w:sz w:val="32"/>
          <w:szCs w:val="32"/>
        </w:rPr>
      </w:pPr>
      <w:r>
        <w:rPr>
          <w:rFonts w:hint="eastAsia" w:ascii="楷体_GB2312" w:hAnsi="宋体" w:eastAsia="楷体_GB2312"/>
          <w:b/>
          <w:sz w:val="32"/>
          <w:szCs w:val="32"/>
        </w:rPr>
        <w:t>（四）桥涵、排水及安全设施</w:t>
      </w:r>
    </w:p>
    <w:p>
      <w:pPr>
        <w:keepNext w:val="0"/>
        <w:keepLines w:val="0"/>
        <w:pageBreakBefore w:val="0"/>
        <w:widowControl w:val="0"/>
        <w:tabs>
          <w:tab w:val="left" w:pos="3345"/>
        </w:tabs>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hint="eastAsia" w:ascii="仿宋_GB2312" w:hAnsi="仿宋" w:eastAsia="仿宋_GB2312"/>
          <w:sz w:val="32"/>
          <w:szCs w:val="32"/>
        </w:rPr>
      </w:pPr>
      <w:r>
        <w:rPr>
          <w:rFonts w:hint="eastAsia" w:ascii="仿宋_GB2312" w:hAnsi="仿宋" w:eastAsia="仿宋_GB2312"/>
          <w:sz w:val="32"/>
          <w:szCs w:val="32"/>
        </w:rPr>
        <w:t>原则同意</w:t>
      </w:r>
      <w:r>
        <w:rPr>
          <w:rFonts w:hint="eastAsia" w:ascii="仿宋_GB2312" w:hAnsi="仿宋_GB2312" w:eastAsia="仿宋_GB2312" w:cs="仿宋_GB2312"/>
          <w:sz w:val="32"/>
          <w:szCs w:val="32"/>
        </w:rPr>
        <w:t>利通区南梁村二队至白黄路</w:t>
      </w:r>
      <w:r>
        <w:rPr>
          <w:rFonts w:hint="eastAsia" w:ascii="仿宋" w:hAnsi="仿宋" w:eastAsia="仿宋"/>
          <w:sz w:val="32"/>
          <w:szCs w:val="32"/>
        </w:rPr>
        <w:t>全线共设置涵洞20道，其中钢筋混凝土圆管涵2道、钢管涵18道。全线共设置标志、标牌9块</w:t>
      </w:r>
      <w:r>
        <w:rPr>
          <w:rFonts w:hint="eastAsia" w:ascii="仿宋_GB2312" w:hAnsi="仿宋" w:eastAsia="仿宋_GB2312"/>
          <w:sz w:val="32"/>
          <w:szCs w:val="32"/>
        </w:rPr>
        <w:t>。</w:t>
      </w:r>
    </w:p>
    <w:p>
      <w:pPr>
        <w:keepNext w:val="0"/>
        <w:keepLines w:val="0"/>
        <w:pageBreakBefore w:val="0"/>
        <w:widowControl w:val="0"/>
        <w:tabs>
          <w:tab w:val="left" w:pos="3345"/>
        </w:tabs>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hint="eastAsia" w:ascii="楷体_GB2312" w:hAnsi="宋体" w:eastAsia="楷体_GB2312"/>
          <w:b/>
          <w:sz w:val="32"/>
          <w:szCs w:val="32"/>
        </w:rPr>
      </w:pPr>
      <w:r>
        <w:rPr>
          <w:rFonts w:hint="eastAsia" w:ascii="楷体_GB2312" w:hAnsi="宋体" w:eastAsia="楷体_GB2312"/>
          <w:b/>
          <w:sz w:val="32"/>
          <w:szCs w:val="32"/>
        </w:rPr>
        <w:t>（五）工程预算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经审定利通区南梁村二队至白黄路工程预算 153.91万元。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请你局积极做好施工前准备工作,严格履行基建程序,严格监理制度,主动申请质量监督,加强业主试验室抽检和数据统计工作,严格控制工程建设质量,切实加强施工安全,</w:t>
      </w:r>
      <w:r>
        <w:rPr>
          <w:rFonts w:hint="eastAsia" w:ascii="仿宋_GB2312" w:hAnsi="仿宋" w:eastAsia="仿宋_GB2312"/>
          <w:sz w:val="32"/>
          <w:szCs w:val="32"/>
        </w:rPr>
        <w:t xml:space="preserve"> 做好路肩压实。对于平均纵坡、合成坡、回头曲线指标超标的局部路段，请你局进一步优化改善，并采取相应的工程措施使其满足规范要求，农村公路平交道口要满足规范对视距的要求，在长大纵坡、小半径及回头曲线设置限速标志、标线和必要的路侧防护剂路面减速设施，</w:t>
      </w:r>
      <w:r>
        <w:rPr>
          <w:rFonts w:hint="eastAsia" w:ascii="仿宋_GB2312" w:hAnsi="仿宋_GB2312" w:eastAsia="仿宋_GB2312" w:cs="仿宋_GB2312"/>
          <w:sz w:val="32"/>
          <w:szCs w:val="32"/>
        </w:rPr>
        <w:t>确保工程建设质量和运行安全。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附件:施工图预算费用审定表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480" w:firstLineChars="14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吴忠市交通运输局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480" w:firstLineChars="1400"/>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2020年3月12日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 w:hAnsi="仿宋" w:eastAsia="仿宋"/>
          <w:sz w:val="32"/>
          <w:szCs w:val="32"/>
        </w:rPr>
      </w:pPr>
      <w:r>
        <w:rPr>
          <w:rFonts w:hint="eastAsia" w:ascii="仿宋" w:hAnsi="仿宋" w:eastAsia="仿宋"/>
          <w:sz w:val="32"/>
          <w:szCs w:val="32"/>
        </w:rPr>
        <w:t>（此件公开发布）</w:t>
      </w:r>
    </w:p>
    <w:p>
      <w:pPr>
        <w:spacing w:line="360" w:lineRule="auto"/>
        <w:ind w:firstLine="4640" w:firstLineChars="1450"/>
        <w:rPr>
          <w:rFonts w:hint="eastAsia" w:ascii="仿宋_GB2312" w:hAnsi="宋体" w:eastAsia="仿宋_GB2312"/>
          <w:sz w:val="32"/>
          <w:szCs w:val="32"/>
        </w:rPr>
      </w:pPr>
    </w:p>
    <w:p>
      <w:pPr>
        <w:spacing w:line="540" w:lineRule="exact"/>
        <w:jc w:val="both"/>
        <w:rPr>
          <w:rFonts w:hint="eastAsia"/>
          <w:sz w:val="32"/>
          <w:lang w:val="en-US" w:eastAsia="zh-CN"/>
        </w:rPr>
      </w:pPr>
    </w:p>
    <w:p>
      <w:pPr>
        <w:spacing w:line="540" w:lineRule="exact"/>
        <w:jc w:val="both"/>
        <w:rPr>
          <w:rFonts w:hint="eastAsia"/>
          <w:sz w:val="32"/>
          <w:lang w:val="en-US" w:eastAsia="zh-CN"/>
        </w:rPr>
      </w:pPr>
    </w:p>
    <w:p>
      <w:pPr>
        <w:spacing w:line="540" w:lineRule="exact"/>
        <w:jc w:val="both"/>
        <w:rPr>
          <w:rFonts w:hint="eastAsia"/>
          <w:sz w:val="32"/>
          <w:lang w:val="en-US" w:eastAsia="zh-CN"/>
        </w:rPr>
      </w:pPr>
    </w:p>
    <w:p>
      <w:pPr>
        <w:spacing w:line="540" w:lineRule="exact"/>
        <w:jc w:val="both"/>
        <w:rPr>
          <w:rFonts w:hint="eastAsia"/>
          <w:sz w:val="32"/>
          <w:lang w:val="en-US"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293370</wp:posOffset>
                </wp:positionV>
                <wp:extent cx="5581650" cy="55245"/>
                <wp:effectExtent l="0" t="9525" r="0" b="49530"/>
                <wp:wrapNone/>
                <wp:docPr id="2" name="直接连接符 9"/>
                <wp:cNvGraphicFramePr/>
                <a:graphic xmlns:a="http://schemas.openxmlformats.org/drawingml/2006/main">
                  <a:graphicData uri="http://schemas.microsoft.com/office/word/2010/wordprocessingShape">
                    <wps:wsp>
                      <wps:cNvCnPr/>
                      <wps:spPr>
                        <a:xfrm flipV="1">
                          <a:off x="0" y="0"/>
                          <a:ext cx="5581650" cy="55245"/>
                        </a:xfrm>
                        <a:prstGeom prst="line">
                          <a:avLst/>
                        </a:prstGeom>
                        <a:ln w="19050" cap="flat" cmpd="sng">
                          <a:solidFill>
                            <a:srgbClr val="000000"/>
                          </a:solidFill>
                          <a:prstDash val="solid"/>
                          <a:round/>
                          <a:headEnd type="none" w="med" len="med"/>
                          <a:tailEnd type="none" w="med" len="med"/>
                        </a:ln>
                        <a:effectLst>
                          <a:outerShdw dist="23000" dir="5400000" rotWithShape="0">
                            <a:srgbClr val="000000">
                              <a:alpha val="34999"/>
                            </a:srgbClr>
                          </a:outerShdw>
                        </a:effectLst>
                      </wps:spPr>
                      <wps:bodyPr upright="1"/>
                    </wps:wsp>
                  </a:graphicData>
                </a:graphic>
              </wp:anchor>
            </w:drawing>
          </mc:Choice>
          <mc:Fallback>
            <w:pict>
              <v:line id="直接连接符 9" o:spid="_x0000_s1026" o:spt="20" style="position:absolute;left:0pt;flip:y;margin-left:0.3pt;margin-top:23.1pt;height:4.35pt;width:439.5pt;z-index:251658240;mso-width-relative:page;mso-height-relative:page;" filled="f" stroked="t" coordsize="21600,21600" o:gfxdata="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QsLR9cAAAAGAQAADwAAAAAAAAABACAAAAAiAAAAZHJzL2Rvd25yZXYueG1sUEsBAhQA&#10;FAAAAAgAh07iQBjmGLIsAgAASwQAAA4AAAAAAAAAAQAgAAAAJgEAAGRycy9lMm9Eb2MueG1sUEsF&#10;BgAAAAAGAAYAWQEAAMQFAAAAAA==&#10;">
                <v:fill on="f" focussize="0,0"/>
                <v:stroke weight="1.5pt" color="#000000" joinstyle="round"/>
                <v:imagedata o:title=""/>
                <o:lock v:ext="edit" aspectratio="f"/>
                <v:shadow on="t" color="#000000" opacity="22936f" offset="0pt,1.81102362204724pt" origin="0f,32768f" matrix="65536f,0f,0f,65536f"/>
              </v:line>
            </w:pict>
          </mc:Fallback>
        </mc:AlternateContent>
      </w:r>
    </w:p>
    <w:p>
      <w:pPr>
        <w:spacing w:line="540" w:lineRule="exact"/>
        <w:ind w:right="-512" w:rightChars="-244"/>
        <w:jc w:val="both"/>
        <w:rPr>
          <w:rFonts w:hint="eastAsia" w:ascii="仿宋_GB2312" w:hAnsi="宋体" w:eastAsia="仿宋_GB2312"/>
          <w:sz w:val="32"/>
          <w:szCs w:val="32"/>
          <w:u w:val="none"/>
        </w:rPr>
      </w:pPr>
      <w:r>
        <w:rPr>
          <w:sz w:val="28"/>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318135</wp:posOffset>
                </wp:positionV>
                <wp:extent cx="5615305" cy="31115"/>
                <wp:effectExtent l="0" t="9525" r="4445" b="35560"/>
                <wp:wrapNone/>
                <wp:docPr id="3" name="直接连接符 11"/>
                <wp:cNvGraphicFramePr/>
                <a:graphic xmlns:a="http://schemas.openxmlformats.org/drawingml/2006/main">
                  <a:graphicData uri="http://schemas.microsoft.com/office/word/2010/wordprocessingShape">
                    <wps:wsp>
                      <wps:cNvCnPr/>
                      <wps:spPr>
                        <a:xfrm flipV="1">
                          <a:off x="0" y="0"/>
                          <a:ext cx="5615305" cy="31115"/>
                        </a:xfrm>
                        <a:prstGeom prst="line">
                          <a:avLst/>
                        </a:prstGeom>
                        <a:ln w="19050" cap="flat" cmpd="sng">
                          <a:solidFill>
                            <a:srgbClr val="000000"/>
                          </a:solidFill>
                          <a:prstDash val="solid"/>
                          <a:round/>
                          <a:headEnd type="none" w="med" len="med"/>
                          <a:tailEnd type="none" w="med" len="med"/>
                        </a:ln>
                        <a:effectLst>
                          <a:outerShdw dist="23000" dir="5400000" rotWithShape="0">
                            <a:srgbClr val="000000">
                              <a:alpha val="34999"/>
                            </a:srgbClr>
                          </a:outerShdw>
                        </a:effectLst>
                      </wps:spPr>
                      <wps:bodyPr upright="1"/>
                    </wps:wsp>
                  </a:graphicData>
                </a:graphic>
              </wp:anchor>
            </w:drawing>
          </mc:Choice>
          <mc:Fallback>
            <w:pict>
              <v:line id="直接连接符 11" o:spid="_x0000_s1026" o:spt="20" style="position:absolute;left:0pt;flip:y;margin-left:1.8pt;margin-top:25.05pt;height:2.45pt;width:442.15pt;z-index:251659264;mso-width-relative:page;mso-height-relative:page;" filled="f" stroked="t" coordsize="21600,21600" o:gfxdata="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ub4P2AAAAAcBAAAPAAAAAAAAAAEAIAAAACIAAABkcnMvZG93bnJldi54bWxQSwEC&#10;FAAUAAAACACHTuJA+z9WPy0CAABMBAAADgAAAAAAAAABACAAAAAnAQAAZHJzL2Uyb0RvYy54bWxQ&#10;SwUGAAAAAAYABgBZAQAAxgUAAAAA&#10;">
                <v:fill on="f" focussize="0,0"/>
                <v:stroke weight="1.5pt" color="#000000" joinstyle="round"/>
                <v:imagedata o:title=""/>
                <o:lock v:ext="edit" aspectratio="f"/>
                <v:shadow on="t" color="#000000" opacity="22936f" offset="0pt,1.81102362204724pt" origin="0f,32768f" matrix="65536f,0f,0f,65536f"/>
              </v:line>
            </w:pict>
          </mc:Fallback>
        </mc:AlternateContent>
      </w:r>
      <w:r>
        <w:rPr>
          <w:rFonts w:hint="eastAsia" w:ascii="仿宋_GB2312" w:hAnsi="仿宋_GB2312" w:eastAsia="仿宋_GB2312" w:cs="仿宋_GB2312"/>
          <w:kern w:val="2"/>
          <w:sz w:val="28"/>
          <w:szCs w:val="28"/>
          <w:lang w:val="en-US" w:eastAsia="zh-CN" w:bidi="ar-SA"/>
        </w:rPr>
        <w:t xml:space="preserve"> 吴忠市交通运输局办公室                    2020年3月12日印发</w:t>
      </w:r>
    </w:p>
    <w:tbl>
      <w:tblPr>
        <w:tblStyle w:val="4"/>
        <w:tblW w:w="8379" w:type="dxa"/>
        <w:tblInd w:w="93" w:type="dxa"/>
        <w:tblLayout w:type="fixed"/>
        <w:tblCellMar>
          <w:top w:w="0" w:type="dxa"/>
          <w:left w:w="108" w:type="dxa"/>
          <w:bottom w:w="0" w:type="dxa"/>
          <w:right w:w="108" w:type="dxa"/>
        </w:tblCellMar>
      </w:tblPr>
      <w:tblGrid>
        <w:gridCol w:w="582"/>
        <w:gridCol w:w="3261"/>
        <w:gridCol w:w="2268"/>
        <w:gridCol w:w="2268"/>
      </w:tblGrid>
      <w:tr>
        <w:tblPrEx>
          <w:tblLayout w:type="fixed"/>
          <w:tblCellMar>
            <w:top w:w="0" w:type="dxa"/>
            <w:left w:w="108" w:type="dxa"/>
            <w:bottom w:w="0" w:type="dxa"/>
            <w:right w:w="108" w:type="dxa"/>
          </w:tblCellMar>
        </w:tblPrEx>
        <w:trPr>
          <w:trHeight w:val="1290" w:hRule="atLeast"/>
        </w:trPr>
        <w:tc>
          <w:tcPr>
            <w:tcW w:w="8379" w:type="dxa"/>
            <w:gridSpan w:val="4"/>
            <w:tcBorders>
              <w:top w:val="nil"/>
              <w:left w:val="nil"/>
              <w:bottom w:val="nil"/>
              <w:right w:val="nil"/>
            </w:tcBorders>
            <w:vAlign w:val="center"/>
          </w:tcPr>
          <w:p>
            <w:pPr>
              <w:widowControl/>
              <w:jc w:val="center"/>
              <w:rPr>
                <w:rFonts w:ascii="宋体" w:hAnsi="宋体" w:cs="宋体"/>
                <w:b/>
                <w:bCs/>
                <w:kern w:val="0"/>
                <w:sz w:val="40"/>
                <w:szCs w:val="40"/>
              </w:rPr>
            </w:pPr>
            <w:r>
              <w:rPr>
                <w:rFonts w:hint="eastAsia" w:ascii="宋体" w:hAnsi="宋体" w:cs="宋体"/>
                <w:b/>
                <w:bCs/>
                <w:kern w:val="0"/>
                <w:sz w:val="40"/>
                <w:szCs w:val="40"/>
              </w:rPr>
              <w:t>吴忠市利通区清四沟公路、利通区南梁村二队                    至白黄路项目施工图预算费用审定表</w:t>
            </w:r>
          </w:p>
        </w:tc>
      </w:tr>
      <w:tr>
        <w:tblPrEx>
          <w:tblLayout w:type="fixed"/>
          <w:tblCellMar>
            <w:top w:w="0" w:type="dxa"/>
            <w:left w:w="108" w:type="dxa"/>
            <w:bottom w:w="0" w:type="dxa"/>
            <w:right w:w="108" w:type="dxa"/>
          </w:tblCellMar>
        </w:tblPrEx>
        <w:trPr>
          <w:trHeight w:val="360" w:hRule="atLeast"/>
        </w:trPr>
        <w:tc>
          <w:tcPr>
            <w:tcW w:w="8379" w:type="dxa"/>
            <w:gridSpan w:val="4"/>
            <w:tcBorders>
              <w:top w:val="nil"/>
              <w:left w:val="nil"/>
              <w:bottom w:val="single" w:color="auto" w:sz="4" w:space="0"/>
              <w:right w:val="nil"/>
            </w:tcBorders>
            <w:vAlign w:val="bottom"/>
          </w:tcPr>
          <w:p>
            <w:pPr>
              <w:widowControl/>
              <w:jc w:val="right"/>
              <w:rPr>
                <w:rFonts w:ascii="宋体" w:hAnsi="宋体" w:cs="宋体"/>
                <w:b/>
                <w:bCs/>
                <w:kern w:val="0"/>
                <w:sz w:val="20"/>
                <w:szCs w:val="20"/>
              </w:rPr>
            </w:pPr>
            <w:r>
              <w:rPr>
                <w:rFonts w:hint="eastAsia" w:ascii="宋体" w:hAnsi="宋体" w:cs="宋体"/>
                <w:b/>
                <w:bCs/>
                <w:kern w:val="0"/>
                <w:sz w:val="20"/>
                <w:szCs w:val="20"/>
              </w:rPr>
              <w:t>单位：元</w:t>
            </w:r>
          </w:p>
        </w:tc>
      </w:tr>
      <w:tr>
        <w:tblPrEx>
          <w:tblLayout w:type="fixed"/>
          <w:tblCellMar>
            <w:top w:w="0" w:type="dxa"/>
            <w:left w:w="108" w:type="dxa"/>
            <w:bottom w:w="0" w:type="dxa"/>
            <w:right w:w="108" w:type="dxa"/>
          </w:tblCellMar>
        </w:tblPrEx>
        <w:trPr>
          <w:trHeight w:val="600" w:hRule="atLeast"/>
        </w:trPr>
        <w:tc>
          <w:tcPr>
            <w:tcW w:w="582"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工程或费用名称</w:t>
            </w:r>
          </w:p>
        </w:tc>
        <w:tc>
          <w:tcPr>
            <w:tcW w:w="453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利通区</w:t>
            </w:r>
          </w:p>
        </w:tc>
      </w:tr>
      <w:tr>
        <w:tblPrEx>
          <w:tblLayout w:type="fixed"/>
          <w:tblCellMar>
            <w:top w:w="0" w:type="dxa"/>
            <w:left w:w="108" w:type="dxa"/>
            <w:bottom w:w="0" w:type="dxa"/>
            <w:right w:w="108" w:type="dxa"/>
          </w:tblCellMar>
        </w:tblPrEx>
        <w:trPr>
          <w:trHeight w:val="702" w:hRule="atLeast"/>
        </w:trPr>
        <w:tc>
          <w:tcPr>
            <w:tcW w:w="5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3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2268" w:type="dxa"/>
            <w:tcBorders>
              <w:top w:val="nil"/>
              <w:left w:val="nil"/>
              <w:bottom w:val="nil"/>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利通区清四沟公路</w:t>
            </w:r>
          </w:p>
        </w:tc>
        <w:tc>
          <w:tcPr>
            <w:tcW w:w="2268" w:type="dxa"/>
            <w:tcBorders>
              <w:top w:val="nil"/>
              <w:left w:val="nil"/>
              <w:bottom w:val="nil"/>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南梁村二队                    至白黄路</w:t>
            </w:r>
          </w:p>
        </w:tc>
      </w:tr>
      <w:tr>
        <w:tblPrEx>
          <w:tblLayout w:type="fixed"/>
          <w:tblCellMar>
            <w:top w:w="0" w:type="dxa"/>
            <w:left w:w="108" w:type="dxa"/>
            <w:bottom w:w="0" w:type="dxa"/>
            <w:right w:w="108" w:type="dxa"/>
          </w:tblCellMar>
        </w:tblPrEx>
        <w:trPr>
          <w:trHeight w:val="365" w:hRule="atLeast"/>
        </w:trPr>
        <w:tc>
          <w:tcPr>
            <w:tcW w:w="582" w:type="dxa"/>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宋体" w:hAnsi="宋体" w:cs="宋体"/>
                <w:b/>
                <w:bCs/>
                <w:kern w:val="0"/>
                <w:sz w:val="24"/>
              </w:rPr>
            </w:pPr>
            <w:r>
              <w:rPr>
                <w:rFonts w:hint="eastAsia" w:ascii="宋体" w:hAnsi="宋体" w:cs="宋体"/>
                <w:b/>
                <w:bCs/>
                <w:kern w:val="0"/>
                <w:sz w:val="24"/>
              </w:rPr>
              <w:t>　</w:t>
            </w:r>
          </w:p>
        </w:tc>
        <w:tc>
          <w:tcPr>
            <w:tcW w:w="32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里程（公里）</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6.727</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2.06</w:t>
            </w:r>
          </w:p>
        </w:tc>
      </w:tr>
      <w:tr>
        <w:tblPrEx>
          <w:tblLayout w:type="fixed"/>
          <w:tblCellMar>
            <w:top w:w="0" w:type="dxa"/>
            <w:left w:w="108" w:type="dxa"/>
            <w:bottom w:w="0" w:type="dxa"/>
            <w:right w:w="108" w:type="dxa"/>
          </w:tblCellMar>
        </w:tblPrEx>
        <w:trPr>
          <w:trHeight w:val="477"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一</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建筑安装工程费</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7726679</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1299929</w:t>
            </w:r>
          </w:p>
        </w:tc>
      </w:tr>
      <w:tr>
        <w:tblPrEx>
          <w:tblLayout w:type="fixed"/>
          <w:tblCellMar>
            <w:top w:w="0" w:type="dxa"/>
            <w:left w:w="108" w:type="dxa"/>
            <w:bottom w:w="0" w:type="dxa"/>
            <w:right w:w="108" w:type="dxa"/>
          </w:tblCellMar>
        </w:tblPrEx>
        <w:trPr>
          <w:trHeight w:val="399"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101</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临时工程</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155114</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131213</w:t>
            </w:r>
          </w:p>
        </w:tc>
      </w:tr>
      <w:tr>
        <w:tblPrEx>
          <w:tblLayout w:type="fixed"/>
          <w:tblCellMar>
            <w:top w:w="0" w:type="dxa"/>
            <w:left w:w="108" w:type="dxa"/>
            <w:bottom w:w="0" w:type="dxa"/>
            <w:right w:w="108" w:type="dxa"/>
          </w:tblCellMar>
        </w:tblPrEx>
        <w:trPr>
          <w:trHeight w:val="284"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102</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路基工程</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1112766</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202747</w:t>
            </w:r>
          </w:p>
        </w:tc>
      </w:tr>
      <w:tr>
        <w:tblPrEx>
          <w:tblLayout w:type="fixed"/>
          <w:tblCellMar>
            <w:top w:w="0" w:type="dxa"/>
            <w:left w:w="108" w:type="dxa"/>
            <w:bottom w:w="0" w:type="dxa"/>
            <w:right w:w="108" w:type="dxa"/>
          </w:tblCellMar>
        </w:tblPrEx>
        <w:trPr>
          <w:trHeight w:val="389"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103</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路面工程</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3465062</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695119</w:t>
            </w:r>
          </w:p>
        </w:tc>
      </w:tr>
      <w:tr>
        <w:tblPrEx>
          <w:tblLayout w:type="fixed"/>
          <w:tblCellMar>
            <w:top w:w="0" w:type="dxa"/>
            <w:left w:w="108" w:type="dxa"/>
            <w:bottom w:w="0" w:type="dxa"/>
            <w:right w:w="108" w:type="dxa"/>
          </w:tblCellMar>
        </w:tblPrEx>
        <w:trPr>
          <w:trHeight w:val="267"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104</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桥梁涵洞工程</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921909</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143112</w:t>
            </w:r>
          </w:p>
        </w:tc>
      </w:tr>
      <w:tr>
        <w:tblPrEx>
          <w:tblLayout w:type="fixed"/>
          <w:tblCellMar>
            <w:top w:w="0" w:type="dxa"/>
            <w:left w:w="108" w:type="dxa"/>
            <w:bottom w:w="0" w:type="dxa"/>
            <w:right w:w="108" w:type="dxa"/>
          </w:tblCellMar>
        </w:tblPrEx>
        <w:trPr>
          <w:trHeight w:val="23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106</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交叉工程</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69831</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24988</w:t>
            </w:r>
          </w:p>
        </w:tc>
      </w:tr>
      <w:tr>
        <w:tblPrEx>
          <w:tblLayout w:type="fixed"/>
          <w:tblCellMar>
            <w:top w:w="0" w:type="dxa"/>
            <w:left w:w="108" w:type="dxa"/>
            <w:bottom w:w="0" w:type="dxa"/>
            <w:right w:w="108" w:type="dxa"/>
          </w:tblCellMar>
        </w:tblPrEx>
        <w:trPr>
          <w:trHeight w:val="277"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107</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交通工程及沿线设施</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1495932</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8590</w:t>
            </w:r>
          </w:p>
        </w:tc>
      </w:tr>
      <w:tr>
        <w:tblPrEx>
          <w:tblLayout w:type="fixed"/>
          <w:tblCellMar>
            <w:top w:w="0" w:type="dxa"/>
            <w:left w:w="108" w:type="dxa"/>
            <w:bottom w:w="0" w:type="dxa"/>
            <w:right w:w="108" w:type="dxa"/>
          </w:tblCellMar>
        </w:tblPrEx>
        <w:trPr>
          <w:trHeight w:val="269"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109</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其他工程</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0</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0</w:t>
            </w:r>
          </w:p>
        </w:tc>
      </w:tr>
      <w:tr>
        <w:tblPrEx>
          <w:tblLayout w:type="fixed"/>
          <w:tblCellMar>
            <w:top w:w="0" w:type="dxa"/>
            <w:left w:w="108" w:type="dxa"/>
            <w:bottom w:w="0" w:type="dxa"/>
            <w:right w:w="108" w:type="dxa"/>
          </w:tblCellMar>
        </w:tblPrEx>
        <w:trPr>
          <w:trHeight w:val="187"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110</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专项费用</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506065</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94160</w:t>
            </w:r>
          </w:p>
        </w:tc>
      </w:tr>
      <w:tr>
        <w:tblPrEx>
          <w:tblLayout w:type="fixed"/>
          <w:tblCellMar>
            <w:top w:w="0" w:type="dxa"/>
            <w:left w:w="108" w:type="dxa"/>
            <w:bottom w:w="0" w:type="dxa"/>
            <w:right w:w="108" w:type="dxa"/>
          </w:tblCellMar>
        </w:tblPrEx>
        <w:trPr>
          <w:trHeight w:val="509"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二</w:t>
            </w:r>
          </w:p>
        </w:tc>
        <w:tc>
          <w:tcPr>
            <w:tcW w:w="3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土地征用及拆迁补偿费</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b/>
                <w:bCs/>
                <w:kern w:val="0"/>
                <w:szCs w:val="21"/>
              </w:rPr>
            </w:pPr>
            <w:r>
              <w:rPr>
                <w:rFonts w:ascii="Times New Roman" w:hAnsi="Times New Roman"/>
                <w:b/>
                <w:bCs/>
                <w:kern w:val="0"/>
                <w:szCs w:val="21"/>
              </w:rPr>
              <w:t>6700</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b/>
                <w:bCs/>
                <w:kern w:val="0"/>
                <w:szCs w:val="21"/>
              </w:rPr>
            </w:pPr>
            <w:r>
              <w:rPr>
                <w:rFonts w:ascii="Times New Roman" w:hAnsi="Times New Roman"/>
                <w:b/>
                <w:bCs/>
                <w:kern w:val="0"/>
                <w:szCs w:val="21"/>
              </w:rPr>
              <w:t>12800</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201</w:t>
            </w:r>
          </w:p>
        </w:tc>
        <w:tc>
          <w:tcPr>
            <w:tcW w:w="3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土地使用费</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6700</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12800</w:t>
            </w:r>
          </w:p>
        </w:tc>
      </w:tr>
      <w:tr>
        <w:tblPrEx>
          <w:tblLayout w:type="fixed"/>
          <w:tblCellMar>
            <w:top w:w="0" w:type="dxa"/>
            <w:left w:w="108" w:type="dxa"/>
            <w:bottom w:w="0" w:type="dxa"/>
            <w:right w:w="108" w:type="dxa"/>
          </w:tblCellMar>
        </w:tblPrEx>
        <w:trPr>
          <w:trHeight w:val="423"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202</w:t>
            </w:r>
          </w:p>
        </w:tc>
        <w:tc>
          <w:tcPr>
            <w:tcW w:w="3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拆迁补偿费</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0</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0</w:t>
            </w:r>
          </w:p>
        </w:tc>
      </w:tr>
      <w:tr>
        <w:tblPrEx>
          <w:tblLayout w:type="fixed"/>
          <w:tblCellMar>
            <w:top w:w="0" w:type="dxa"/>
            <w:left w:w="108" w:type="dxa"/>
            <w:bottom w:w="0" w:type="dxa"/>
            <w:right w:w="108" w:type="dxa"/>
          </w:tblCellMar>
        </w:tblPrEx>
        <w:trPr>
          <w:trHeight w:val="58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三</w:t>
            </w:r>
          </w:p>
        </w:tc>
        <w:tc>
          <w:tcPr>
            <w:tcW w:w="3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工程建设其他费用</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b/>
                <w:bCs/>
                <w:kern w:val="0"/>
                <w:szCs w:val="21"/>
              </w:rPr>
            </w:pPr>
            <w:r>
              <w:rPr>
                <w:rFonts w:ascii="Times New Roman" w:hAnsi="Times New Roman"/>
                <w:b/>
                <w:bCs/>
                <w:kern w:val="0"/>
                <w:szCs w:val="21"/>
              </w:rPr>
              <w:t>916173</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b/>
                <w:bCs/>
                <w:kern w:val="0"/>
                <w:szCs w:val="21"/>
              </w:rPr>
            </w:pPr>
            <w:r>
              <w:rPr>
                <w:rFonts w:ascii="Times New Roman" w:hAnsi="Times New Roman"/>
                <w:b/>
                <w:bCs/>
                <w:kern w:val="0"/>
                <w:szCs w:val="21"/>
              </w:rPr>
              <w:t>181590</w:t>
            </w:r>
          </w:p>
        </w:tc>
      </w:tr>
      <w:tr>
        <w:tblPrEx>
          <w:tblLayout w:type="fixed"/>
          <w:tblCellMar>
            <w:top w:w="0" w:type="dxa"/>
            <w:left w:w="108" w:type="dxa"/>
            <w:bottom w:w="0" w:type="dxa"/>
            <w:right w:w="108" w:type="dxa"/>
          </w:tblCellMar>
        </w:tblPrEx>
        <w:trPr>
          <w:trHeight w:val="381"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301</w:t>
            </w:r>
          </w:p>
        </w:tc>
        <w:tc>
          <w:tcPr>
            <w:tcW w:w="3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建设项目管理费</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653191</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130689</w:t>
            </w:r>
          </w:p>
        </w:tc>
      </w:tr>
      <w:tr>
        <w:tblPrEx>
          <w:tblLayout w:type="fixed"/>
          <w:tblCellMar>
            <w:top w:w="0" w:type="dxa"/>
            <w:left w:w="108" w:type="dxa"/>
            <w:bottom w:w="0" w:type="dxa"/>
            <w:right w:w="108" w:type="dxa"/>
          </w:tblCellMar>
        </w:tblPrEx>
        <w:trPr>
          <w:trHeight w:val="41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303</w:t>
            </w:r>
          </w:p>
        </w:tc>
        <w:tc>
          <w:tcPr>
            <w:tcW w:w="3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建设项目前期工作费</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243474</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44947</w:t>
            </w:r>
          </w:p>
        </w:tc>
      </w:tr>
      <w:tr>
        <w:tblPrEx>
          <w:tblLayout w:type="fixed"/>
          <w:tblCellMar>
            <w:top w:w="0" w:type="dxa"/>
            <w:left w:w="108" w:type="dxa"/>
            <w:bottom w:w="0" w:type="dxa"/>
            <w:right w:w="108" w:type="dxa"/>
          </w:tblCellMar>
        </w:tblPrEx>
        <w:trPr>
          <w:trHeight w:val="420"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304</w:t>
            </w:r>
          </w:p>
        </w:tc>
        <w:tc>
          <w:tcPr>
            <w:tcW w:w="3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专项评价（估）费</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0</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0</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306</w:t>
            </w:r>
          </w:p>
        </w:tc>
        <w:tc>
          <w:tcPr>
            <w:tcW w:w="3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生产准备费</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19508</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5954</w:t>
            </w:r>
          </w:p>
        </w:tc>
      </w:tr>
      <w:tr>
        <w:tblPrEx>
          <w:tblLayout w:type="fixed"/>
          <w:tblCellMar>
            <w:top w:w="0" w:type="dxa"/>
            <w:left w:w="108" w:type="dxa"/>
            <w:bottom w:w="0" w:type="dxa"/>
            <w:right w:w="108" w:type="dxa"/>
          </w:tblCellMar>
        </w:tblPrEx>
        <w:trPr>
          <w:trHeight w:val="277"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308</w:t>
            </w:r>
          </w:p>
        </w:tc>
        <w:tc>
          <w:tcPr>
            <w:tcW w:w="3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工程保险费</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0</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0</w:t>
            </w:r>
          </w:p>
        </w:tc>
      </w:tr>
      <w:tr>
        <w:tblPrEx>
          <w:tblLayout w:type="fixed"/>
          <w:tblCellMar>
            <w:top w:w="0" w:type="dxa"/>
            <w:left w:w="108" w:type="dxa"/>
            <w:bottom w:w="0" w:type="dxa"/>
            <w:right w:w="108" w:type="dxa"/>
          </w:tblCellMar>
        </w:tblPrEx>
        <w:trPr>
          <w:trHeight w:val="58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四</w:t>
            </w:r>
          </w:p>
        </w:tc>
        <w:tc>
          <w:tcPr>
            <w:tcW w:w="3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预备费</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b/>
                <w:bCs/>
                <w:kern w:val="0"/>
                <w:szCs w:val="21"/>
              </w:rPr>
            </w:pPr>
            <w:r>
              <w:rPr>
                <w:rFonts w:ascii="Times New Roman" w:hAnsi="Times New Roman"/>
                <w:b/>
                <w:bCs/>
                <w:kern w:val="0"/>
                <w:szCs w:val="21"/>
              </w:rPr>
              <w:t>259487</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b/>
                <w:bCs/>
                <w:kern w:val="0"/>
                <w:szCs w:val="21"/>
              </w:rPr>
            </w:pPr>
            <w:r>
              <w:rPr>
                <w:rFonts w:ascii="Times New Roman" w:hAnsi="Times New Roman"/>
                <w:b/>
                <w:bCs/>
                <w:kern w:val="0"/>
                <w:szCs w:val="21"/>
              </w:rPr>
              <w:t>44830</w:t>
            </w:r>
          </w:p>
        </w:tc>
      </w:tr>
      <w:tr>
        <w:tblPrEx>
          <w:tblLayout w:type="fixed"/>
          <w:tblCellMar>
            <w:top w:w="0" w:type="dxa"/>
            <w:left w:w="108" w:type="dxa"/>
            <w:bottom w:w="0" w:type="dxa"/>
            <w:right w:w="108" w:type="dxa"/>
          </w:tblCellMar>
        </w:tblPrEx>
        <w:trPr>
          <w:trHeight w:val="58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公路造价</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8909039</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1539149</w:t>
            </w:r>
          </w:p>
        </w:tc>
      </w:tr>
    </w:tbl>
    <w:p>
      <w:pPr>
        <w:spacing w:line="560" w:lineRule="exact"/>
        <w:rPr>
          <w:rFonts w:hint="eastAsia" w:ascii="仿宋_GB2312" w:hAnsi="宋体" w:eastAsia="仿宋_GB2312"/>
          <w:sz w:val="32"/>
          <w:szCs w:val="32"/>
          <w:u w:val="single"/>
        </w:rPr>
      </w:pPr>
    </w:p>
    <w:p/>
    <w:sectPr>
      <w:footerReference r:id="rId5" w:type="default"/>
      <w:pgSz w:w="11906" w:h="16838"/>
      <w:pgMar w:top="2098" w:right="1474" w:bottom="2041" w:left="1587" w:header="851" w:footer="992" w:gutter="0"/>
      <w:pgNumType w:fmt="numberInDash"/>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jc w:val="center"/>
                          </w:pPr>
                          <w:r>
                            <w:fldChar w:fldCharType="begin"/>
                          </w:r>
                          <w:r>
                            <w:instrText xml:space="preserve"> PAGE   \* MERGEFORMAT </w:instrText>
                          </w:r>
                          <w:r>
                            <w:fldChar w:fldCharType="separate"/>
                          </w:r>
                          <w:r>
                            <w:rPr>
                              <w:lang w:val="zh-CN"/>
                            </w:rPr>
                            <w:t>2</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k&#10;nuhEtwEAAFQDAAAOAAAAAAAAAAEAIAAAAB4BAABkcnMvZTJvRG9jLnhtbFBLBQYAAAAABgAGAFkB&#10;AABHBQ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00C69"/>
    <w:multiLevelType w:val="singleLevel"/>
    <w:tmpl w:val="BB300C6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93E9C"/>
    <w:rsid w:val="1C3C59EE"/>
    <w:rsid w:val="1F226C48"/>
    <w:rsid w:val="22493E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正文-啊"/>
    <w:basedOn w:val="1"/>
    <w:qFormat/>
    <w:uiPriority w:val="0"/>
    <w:pPr>
      <w:spacing w:beforeLines="100" w:line="276" w:lineRule="auto"/>
      <w:ind w:left="210" w:right="210" w:firstLine="600"/>
      <w:contextualSpacing/>
    </w:pPr>
    <w:rPr>
      <w:rFonts w:ascii="微软雅黑" w:hAnsi="微软雅黑" w:eastAsia="微软雅黑"/>
      <w:color w:val="00000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2020-03-17T03:10:00Z</dcterms:created>
  <dc:creator>惠香利</dc:creator>
  <cp:lastModifiedBy>马逢倡</cp:lastModifiedBy>
  <dcterms:modified xsi:type="dcterms:W3CDTF">2024-03-11T07:41:53Z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