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9DC3E6" w:themeColor="accent1" w:themeTint="99">
    <v:background id="_x0000_s1025">
      <v:fill type="gradient" on="t" color2="#FFFFFF" angle="-45" focus="0%" focussize="0f,0f" focusposition="0f,0f"/>
    </v:background>
  </w:background>
  <w:body>
    <w:p>
      <w:pPr>
        <w:pStyle w:val="4"/>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方正小标宋_GBK" w:hAnsi="方正小标宋_GBK" w:eastAsia="方正小标宋_GBK" w:cs="方正小标宋_GBK"/>
          <w:b w:val="0"/>
          <w:color w:val="333333"/>
          <w:sz w:val="44"/>
          <w:szCs w:val="44"/>
          <w:shd w:val="clear" w:color="auto" w:fill="FFFFFF"/>
        </w:rPr>
      </w:pPr>
      <w:r>
        <w:rPr>
          <w:rFonts w:ascii="方正小标宋_GBK" w:hAnsi="方正小标宋_GBK" w:eastAsia="方正小标宋_GBK" w:cs="方正小标宋_GBK"/>
          <w:b w:val="0"/>
          <w:color w:val="333333"/>
          <w:sz w:val="44"/>
          <w:szCs w:val="44"/>
          <w:shd w:val="clear" w:color="auto" w:fill="FFFFFF"/>
        </w:rPr>
        <w:t>青</w:t>
      </w:r>
      <w:r>
        <w:rPr>
          <w:rFonts w:hint="eastAsia" w:ascii="方正小标宋_GBK" w:hAnsi="方正小标宋_GBK" w:eastAsia="方正小标宋_GBK" w:cs="方正小标宋_GBK"/>
          <w:b w:val="0"/>
          <w:color w:val="333333"/>
          <w:sz w:val="44"/>
          <w:szCs w:val="44"/>
          <w:shd w:val="clear" w:color="auto" w:fill="FFFFFF"/>
          <w:lang w:val="en-US" w:eastAsia="zh-CN"/>
        </w:rPr>
        <w:t xml:space="preserve"> </w:t>
      </w:r>
      <w:r>
        <w:rPr>
          <w:rFonts w:ascii="方正小标宋_GBK" w:hAnsi="方正小标宋_GBK" w:eastAsia="方正小标宋_GBK" w:cs="方正小标宋_GBK"/>
          <w:b w:val="0"/>
          <w:color w:val="333333"/>
          <w:sz w:val="44"/>
          <w:szCs w:val="44"/>
          <w:shd w:val="clear" w:color="auto" w:fill="FFFFFF"/>
        </w:rPr>
        <w:t>铜</w:t>
      </w:r>
      <w:r>
        <w:rPr>
          <w:rFonts w:hint="eastAsia" w:ascii="方正小标宋_GBK" w:hAnsi="方正小标宋_GBK" w:eastAsia="方正小标宋_GBK" w:cs="方正小标宋_GBK"/>
          <w:b w:val="0"/>
          <w:color w:val="333333"/>
          <w:sz w:val="44"/>
          <w:szCs w:val="44"/>
          <w:shd w:val="clear" w:color="auto" w:fill="FFFFFF"/>
          <w:lang w:val="en-US" w:eastAsia="zh-CN"/>
        </w:rPr>
        <w:t xml:space="preserve"> </w:t>
      </w:r>
      <w:r>
        <w:rPr>
          <w:rFonts w:ascii="方正小标宋_GBK" w:hAnsi="方正小标宋_GBK" w:eastAsia="方正小标宋_GBK" w:cs="方正小标宋_GBK"/>
          <w:b w:val="0"/>
          <w:color w:val="333333"/>
          <w:sz w:val="44"/>
          <w:szCs w:val="44"/>
          <w:shd w:val="clear" w:color="auto" w:fill="FFFFFF"/>
        </w:rPr>
        <w:t>峡</w:t>
      </w:r>
      <w:r>
        <w:rPr>
          <w:rFonts w:hint="eastAsia" w:ascii="方正小标宋_GBK" w:hAnsi="方正小标宋_GBK" w:eastAsia="方正小标宋_GBK" w:cs="方正小标宋_GBK"/>
          <w:b w:val="0"/>
          <w:color w:val="333333"/>
          <w:sz w:val="44"/>
          <w:szCs w:val="44"/>
          <w:shd w:val="clear" w:color="auto" w:fill="FFFFFF"/>
          <w:lang w:val="en-US" w:eastAsia="zh-CN"/>
        </w:rPr>
        <w:t xml:space="preserve"> </w:t>
      </w:r>
      <w:r>
        <w:rPr>
          <w:rFonts w:ascii="方正小标宋_GBK" w:hAnsi="方正小标宋_GBK" w:eastAsia="方正小标宋_GBK" w:cs="方正小标宋_GBK"/>
          <w:b w:val="0"/>
          <w:color w:val="333333"/>
          <w:sz w:val="44"/>
          <w:szCs w:val="44"/>
          <w:shd w:val="clear" w:color="auto" w:fill="FFFFFF"/>
        </w:rPr>
        <w:t>市</w:t>
      </w:r>
    </w:p>
    <w:p>
      <w:pPr>
        <w:pStyle w:val="4"/>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方正小标宋_GBK" w:hAnsi="方正小标宋_GBK" w:eastAsia="方正小标宋_GBK" w:cs="方正小标宋_GBK"/>
          <w:b w:val="0"/>
          <w:color w:val="333333"/>
          <w:sz w:val="44"/>
          <w:szCs w:val="44"/>
          <w:shd w:val="clear" w:color="auto" w:fill="FFFFFF"/>
        </w:rPr>
      </w:pPr>
      <w:r>
        <w:rPr>
          <w:rFonts w:ascii="方正小标宋_GBK" w:hAnsi="方正小标宋_GBK" w:eastAsia="方正小标宋_GBK" w:cs="方正小标宋_GBK"/>
          <w:b w:val="0"/>
          <w:color w:val="333333"/>
          <w:sz w:val="44"/>
          <w:szCs w:val="44"/>
          <w:shd w:val="clear" w:color="auto" w:fill="FFFFFF"/>
        </w:rPr>
        <w:t>201</w:t>
      </w:r>
      <w:r>
        <w:rPr>
          <w:rFonts w:hint="eastAsia" w:ascii="方正小标宋_GBK" w:hAnsi="方正小标宋_GBK" w:cs="方正小标宋_GBK"/>
          <w:b w:val="0"/>
          <w:color w:val="333333"/>
          <w:sz w:val="44"/>
          <w:szCs w:val="44"/>
          <w:shd w:val="clear" w:color="auto" w:fill="FFFFFF"/>
          <w:lang w:val="en-US" w:eastAsia="zh-CN"/>
        </w:rPr>
        <w:t>9</w:t>
      </w:r>
      <w:r>
        <w:rPr>
          <w:rFonts w:ascii="方正小标宋_GBK" w:hAnsi="方正小标宋_GBK" w:eastAsia="方正小标宋_GBK" w:cs="方正小标宋_GBK"/>
          <w:b w:val="0"/>
          <w:color w:val="333333"/>
          <w:sz w:val="44"/>
          <w:szCs w:val="44"/>
          <w:shd w:val="clear" w:color="auto" w:fill="FFFFFF"/>
        </w:rPr>
        <w:t>年政府信息公开工作年度报告</w:t>
      </w:r>
    </w:p>
    <w:p>
      <w:pPr>
        <w:pStyle w:val="13"/>
        <w:keepNext w:val="0"/>
        <w:keepLines w:val="0"/>
        <w:pageBreakBefore w:val="0"/>
        <w:widowControl w:val="0"/>
        <w:numPr>
          <w:ilvl w:val="0"/>
          <w:numId w:val="0"/>
        </w:numPr>
        <w:kinsoku/>
        <w:wordWrap/>
        <w:overflowPunct/>
        <w:topLinePunct w:val="0"/>
        <w:autoSpaceDE w:val="0"/>
        <w:autoSpaceDN/>
        <w:bidi w:val="0"/>
        <w:spacing w:before="0" w:beforeAutospacing="0" w:after="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p>
    <w:p>
      <w:pPr>
        <w:pStyle w:val="13"/>
        <w:keepNext w:val="0"/>
        <w:keepLines w:val="0"/>
        <w:pageBreakBefore w:val="0"/>
        <w:widowControl w:val="0"/>
        <w:numPr>
          <w:ilvl w:val="0"/>
          <w:numId w:val="0"/>
        </w:numPr>
        <w:kinsoku/>
        <w:wordWrap/>
        <w:overflowPunct/>
        <w:topLinePunct w:val="0"/>
        <w:autoSpaceDE w:val="0"/>
        <w:autoSpaceDN/>
        <w:bidi w:val="0"/>
        <w:spacing w:before="0" w:beforeAutospacing="0" w:after="0" w:line="560" w:lineRule="exact"/>
        <w:ind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依据《中华人民共和国政府信息公开条例》第五十条之规定，制作本报告。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pPr>
      <w:r>
        <w:rPr>
          <w:rFonts w:hint="eastAsia" w:ascii="方正仿宋_GBK" w:hAnsi="方正仿宋_GBK" w:eastAsia="方正仿宋_GBK" w:cs="方正仿宋_GBK"/>
          <w:kern w:val="0"/>
          <w:sz w:val="32"/>
          <w:szCs w:val="32"/>
          <w:lang w:val="en-US" w:eastAsia="zh-CN"/>
        </w:rPr>
        <w:t>2019年</w:t>
      </w:r>
      <w:r>
        <w:rPr>
          <w:rFonts w:hint="eastAsia" w:ascii="方正仿宋_GBK" w:hAnsi="方正仿宋_GBK" w:eastAsia="方正仿宋_GBK" w:cs="方正仿宋_GBK"/>
          <w:kern w:val="0"/>
          <w:sz w:val="32"/>
          <w:szCs w:val="32"/>
          <w:lang w:eastAsia="zh-CN"/>
        </w:rPr>
        <w:t>，青铜峡市以习近平新时代中国特色社会主义思想为指导，深入贯彻落实党中央、国务院关于全面推进政务公开工作的决策部署，</w:t>
      </w:r>
      <w:r>
        <w:rPr>
          <w:rFonts w:hint="eastAsia" w:ascii="方正仿宋_GBK" w:eastAsia="方正仿宋_GBK" w:cs="仿宋_GB2312"/>
          <w:sz w:val="32"/>
          <w:szCs w:val="32"/>
          <w:lang w:eastAsia="zh-CN"/>
        </w:rPr>
        <w:t>着力</w:t>
      </w:r>
      <w:r>
        <w:rPr>
          <w:rFonts w:hint="eastAsia" w:ascii="方正仿宋_GBK" w:hAnsi="方正仿宋_GBK" w:eastAsia="方正仿宋_GBK" w:cs="方正仿宋_GBK"/>
          <w:kern w:val="0"/>
          <w:sz w:val="32"/>
          <w:szCs w:val="32"/>
          <w:lang w:eastAsia="zh-CN"/>
        </w:rPr>
        <w:t>打造“</w:t>
      </w:r>
      <w:r>
        <w:rPr>
          <w:rFonts w:hint="eastAsia" w:ascii="方正仿宋_GBK" w:hAnsi="方正仿宋_GBK" w:eastAsia="方正仿宋_GBK" w:cs="方正仿宋_GBK"/>
          <w:kern w:val="0"/>
          <w:sz w:val="32"/>
          <w:szCs w:val="32"/>
          <w:lang w:val="en-US" w:eastAsia="zh-CN"/>
        </w:rPr>
        <w:t>1236</w:t>
      </w:r>
      <w:r>
        <w:rPr>
          <w:rFonts w:hint="eastAsia" w:ascii="方正仿宋_GBK" w:hAnsi="方正仿宋_GBK" w:eastAsia="方正仿宋_GBK" w:cs="方正仿宋_GBK"/>
          <w:kern w:val="0"/>
          <w:sz w:val="32"/>
          <w:szCs w:val="32"/>
          <w:lang w:eastAsia="zh-CN"/>
        </w:rPr>
        <w:t>”（一个标准、</w:t>
      </w:r>
      <w:r>
        <w:rPr>
          <w:rFonts w:hint="eastAsia" w:ascii="方正仿宋_GBK" w:hAnsi="方正仿宋_GBK" w:eastAsia="方正仿宋_GBK" w:cs="方正仿宋_GBK"/>
          <w:kern w:val="0"/>
          <w:sz w:val="32"/>
          <w:szCs w:val="32"/>
          <w:lang w:val="en-US" w:eastAsia="zh-CN"/>
        </w:rPr>
        <w:t>两项机制、三个精准，六大平台</w:t>
      </w:r>
      <w:r>
        <w:rPr>
          <w:rFonts w:hint="eastAsia" w:ascii="方正仿宋_GBK" w:hAnsi="方正仿宋_GBK" w:eastAsia="方正仿宋_GBK" w:cs="方正仿宋_GBK"/>
          <w:kern w:val="0"/>
          <w:sz w:val="32"/>
          <w:szCs w:val="32"/>
          <w:lang w:eastAsia="zh-CN"/>
        </w:rPr>
        <w:t>）公开体系</w:t>
      </w:r>
      <w:bookmarkStart w:id="0" w:name="_GoBack"/>
      <w:bookmarkEnd w:id="0"/>
      <w:r>
        <w:rPr>
          <w:rFonts w:hint="eastAsia" w:ascii="方正仿宋_GBK" w:hAnsi="方正仿宋_GBK" w:eastAsia="方正仿宋_GBK" w:cs="方正仿宋_GBK"/>
          <w:kern w:val="0"/>
          <w:sz w:val="32"/>
          <w:szCs w:val="32"/>
          <w:lang w:eastAsia="zh-CN"/>
        </w:rPr>
        <w:t>，政务公开成为全市深化“放管服”改革、促进政民互动、打造法治政府的重要保障和途径。我市坚持</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以巩固提升创建国家级基层政务公开标准化规范化试点工作成果为目标，不断</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创新公开载体，拓展公</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开领域，持续提升政务公开标准化、规范化水平，扎实做好政务新媒体监管运维工作，全年主动公开文件1260余份，各类信息1.3万余条，高效受理依申请公开4件，政务公开工作取得了新的成效。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bCs/>
          <w:color w:val="000000"/>
          <w:sz w:val="32"/>
          <w:szCs w:val="32"/>
          <w:lang w:eastAsia="zh-CN"/>
        </w:rPr>
        <w:t>（一）加强统筹谋划，优化上层设计。</w:t>
      </w:r>
      <w:r>
        <w:rPr>
          <w:rFonts w:hint="eastAsia" w:ascii="方正仿宋_GBK" w:hAnsi="方正仿宋_GBK" w:eastAsia="方正仿宋_GBK" w:cs="方正仿宋_GBK"/>
          <w:color w:val="000000"/>
          <w:sz w:val="32"/>
          <w:szCs w:val="32"/>
          <w:lang w:eastAsia="zh-CN"/>
        </w:rPr>
        <w:t>市委、政府高位谋划、统筹推进，始终将推进政务公开工作作为打造法治政府、创新政府、廉洁政府和服务型政府的“一把手”工程</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b/>
          <w:bCs/>
          <w:color w:val="000000"/>
          <w:sz w:val="32"/>
          <w:szCs w:val="32"/>
          <w:lang w:eastAsia="zh-CN"/>
        </w:rPr>
        <w:t>一是优化制度体系。</w:t>
      </w:r>
      <w:r>
        <w:rPr>
          <w:rFonts w:hint="eastAsia" w:ascii="方正仿宋_GBK" w:hAnsi="方正仿宋_GBK" w:eastAsia="方正仿宋_GBK" w:cs="方正仿宋_GBK"/>
          <w:color w:val="000000"/>
          <w:sz w:val="32"/>
          <w:szCs w:val="32"/>
          <w:lang w:eastAsia="zh-CN"/>
        </w:rPr>
        <w:t>不断完善</w:t>
      </w:r>
      <w:r>
        <w:rPr>
          <w:rFonts w:hint="eastAsia" w:ascii="方正仿宋_GBK" w:hAnsi="方正仿宋_GBK" w:eastAsia="方正仿宋_GBK" w:cs="方正仿宋_GBK"/>
          <w:color w:val="000000"/>
          <w:sz w:val="32"/>
          <w:szCs w:val="32"/>
        </w:rPr>
        <w:t>政府信息公开、重大决策预公开、政府会议开放等24项工作制度及流程图，以公开流程规范化推进政务公开向纵深发展。统一制定全市公安系统警务、医疗机构院务、教育机构校务等5项公开制度，统筹推进公共企业单位信息公开工作。</w:t>
      </w:r>
      <w:r>
        <w:rPr>
          <w:rFonts w:hint="eastAsia" w:ascii="方正仿宋_GBK" w:hAnsi="方正仿宋_GBK" w:eastAsia="方正仿宋_GBK" w:cs="方正仿宋_GBK"/>
          <w:b/>
          <w:bCs/>
          <w:color w:val="000000"/>
          <w:sz w:val="32"/>
          <w:szCs w:val="32"/>
          <w:lang w:eastAsia="zh-CN"/>
        </w:rPr>
        <w:t>二是加强监督评估。</w:t>
      </w:r>
      <w:r>
        <w:rPr>
          <w:rFonts w:hint="eastAsia" w:ascii="方正仿宋_GBK" w:hAnsi="方正仿宋_GBK" w:eastAsia="方正仿宋_GBK" w:cs="方正仿宋_GBK"/>
          <w:color w:val="000000"/>
          <w:sz w:val="32"/>
          <w:szCs w:val="32"/>
          <w:lang w:eastAsia="zh-CN"/>
        </w:rPr>
        <w:t>按照全市统一布局，各部门、单位将政府开放与群众问政有机结合，</w:t>
      </w:r>
      <w:r>
        <w:rPr>
          <w:rFonts w:hint="eastAsia" w:ascii="方正仿宋_GBK" w:hAnsi="方正仿宋_GBK" w:eastAsia="方正仿宋_GBK" w:cs="方正仿宋_GBK"/>
          <w:color w:val="000000"/>
          <w:sz w:val="32"/>
          <w:szCs w:val="32"/>
          <w:lang w:val="en-US" w:eastAsia="zh-CN"/>
        </w:rPr>
        <w:t>扎实</w:t>
      </w:r>
      <w:r>
        <w:rPr>
          <w:rFonts w:hint="eastAsia" w:ascii="方正仿宋_GBK" w:hAnsi="方正仿宋_GBK" w:eastAsia="方正仿宋_GBK" w:cs="方正仿宋_GBK"/>
          <w:color w:val="000000"/>
          <w:sz w:val="32"/>
          <w:szCs w:val="32"/>
          <w:lang w:eastAsia="zh-CN"/>
        </w:rPr>
        <w:t>开展“政府开放日”活动</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eastAsia="zh-CN"/>
        </w:rPr>
        <w:t>形成群众参与、民主测评的良好监督氛围。</w:t>
      </w:r>
      <w:r>
        <w:rPr>
          <w:rFonts w:hint="eastAsia" w:ascii="方正仿宋_GBK" w:hAnsi="方正仿宋_GBK" w:eastAsia="方正仿宋_GBK" w:cs="方正仿宋_GBK"/>
          <w:b/>
          <w:bCs/>
          <w:color w:val="000000"/>
          <w:sz w:val="32"/>
          <w:szCs w:val="32"/>
          <w:lang w:eastAsia="zh-CN"/>
        </w:rPr>
        <w:t>三是强化督查考核。</w:t>
      </w:r>
      <w:r>
        <w:rPr>
          <w:rFonts w:hint="eastAsia" w:ascii="方正仿宋_GBK" w:hAnsi="方正仿宋_GBK" w:eastAsia="方正仿宋_GBK" w:cs="方正仿宋_GBK"/>
          <w:color w:val="000000"/>
          <w:sz w:val="32"/>
          <w:szCs w:val="32"/>
          <w:lang w:eastAsia="zh-CN"/>
        </w:rPr>
        <w:t>继续</w:t>
      </w:r>
      <w:r>
        <w:rPr>
          <w:rFonts w:hint="eastAsia" w:ascii="方正仿宋_GBK" w:hAnsi="方正仿宋_GBK" w:eastAsia="方正仿宋_GBK" w:cs="方正仿宋_GBK"/>
          <w:color w:val="000000"/>
          <w:sz w:val="32"/>
          <w:szCs w:val="32"/>
        </w:rPr>
        <w:t>将政务公开工作纳入全市效能目标管理考核，赋分占比达4%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倒逼各部门、单</w:t>
      </w:r>
      <w:r>
        <w:rPr>
          <w:rFonts w:hint="eastAsia" w:ascii="方正仿宋_GBK" w:hAnsi="方正仿宋_GBK" w:eastAsia="方正仿宋_GBK" w:cs="方正仿宋_GBK"/>
          <w:color w:val="000000"/>
          <w:sz w:val="32"/>
          <w:szCs w:val="32"/>
          <w:u w:val="none"/>
          <w:lang w:val="en-US" w:eastAsia="zh-CN"/>
        </w:rPr>
        <w:t>位</w:t>
      </w:r>
      <w:r>
        <w:rPr>
          <w:rFonts w:hint="eastAsia" w:ascii="方正仿宋_GBK" w:hAnsi="方正仿宋_GBK" w:eastAsia="方正仿宋_GBK" w:cs="方正仿宋_GBK"/>
          <w:color w:val="000000"/>
          <w:sz w:val="32"/>
          <w:szCs w:val="32"/>
        </w:rPr>
        <w:t>主动深化公开意识，强化行动自觉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依托政务公开智能管理平台监测系统，对重点领域公开情况实时监督评估，推进政务公开提质增效。</w:t>
      </w:r>
      <w:r>
        <w:rPr>
          <w:rFonts w:hint="eastAsia" w:ascii="方正仿宋_GBK" w:hAnsi="方正仿宋_GBK" w:eastAsia="方正仿宋_GBK" w:cs="方正仿宋_GBK"/>
          <w:b/>
          <w:bCs/>
          <w:color w:val="000000"/>
          <w:sz w:val="32"/>
          <w:szCs w:val="32"/>
          <w:lang w:eastAsia="zh-CN"/>
        </w:rPr>
        <w:t>四是抓好业务培训。</w:t>
      </w:r>
      <w:r>
        <w:rPr>
          <w:rFonts w:hint="eastAsia" w:ascii="方正仿宋_GBK" w:hAnsi="方正仿宋_GBK" w:eastAsia="方正仿宋_GBK" w:cs="方正仿宋_GBK"/>
          <w:color w:val="000000"/>
          <w:sz w:val="32"/>
          <w:szCs w:val="32"/>
        </w:rPr>
        <w:t>采取“走出去、迎进来”方式，学习先进地区经验，共组织</w:t>
      </w:r>
      <w:r>
        <w:rPr>
          <w:rFonts w:hint="eastAsia" w:ascii="方正仿宋_GBK" w:hAnsi="方正仿宋_GBK" w:eastAsia="方正仿宋_GBK" w:cs="方正仿宋_GBK"/>
          <w:color w:val="000000"/>
          <w:sz w:val="32"/>
          <w:szCs w:val="32"/>
          <w:lang w:eastAsia="zh-CN"/>
        </w:rPr>
        <w:t>、参加</w:t>
      </w:r>
      <w:r>
        <w:rPr>
          <w:rFonts w:hint="eastAsia" w:ascii="方正仿宋_GBK" w:hAnsi="方正仿宋_GBK" w:eastAsia="方正仿宋_GBK" w:cs="方正仿宋_GBK"/>
          <w:color w:val="000000"/>
          <w:sz w:val="32"/>
          <w:szCs w:val="32"/>
        </w:rPr>
        <w:t>各类</w:t>
      </w:r>
      <w:r>
        <w:rPr>
          <w:rFonts w:hint="eastAsia" w:ascii="方正仿宋_GBK" w:hAnsi="方正仿宋_GBK" w:eastAsia="方正仿宋_GBK" w:cs="方正仿宋_GBK"/>
          <w:color w:val="000000"/>
          <w:sz w:val="32"/>
          <w:szCs w:val="32"/>
          <w:lang w:eastAsia="zh-CN"/>
        </w:rPr>
        <w:t>政务公开</w:t>
      </w:r>
      <w:r>
        <w:rPr>
          <w:rFonts w:hint="eastAsia" w:ascii="方正仿宋_GBK" w:hAnsi="方正仿宋_GBK" w:eastAsia="方正仿宋_GBK" w:cs="方正仿宋_GBK"/>
          <w:color w:val="000000"/>
          <w:sz w:val="32"/>
          <w:szCs w:val="32"/>
        </w:rPr>
        <w:t>培训</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次，接待区外考察1次</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区内考察</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次</w:t>
      </w:r>
      <w:r>
        <w:rPr>
          <w:rFonts w:hint="eastAsia" w:ascii="方正仿宋_GBK" w:hAnsi="方正仿宋_GBK" w:eastAsia="方正仿宋_GBK" w:cs="方正仿宋_GBK"/>
          <w:color w:val="000000"/>
          <w:sz w:val="32"/>
          <w:szCs w:val="32"/>
          <w:lang w:eastAsia="zh-CN"/>
        </w:rPr>
        <w:t>，全市</w:t>
      </w:r>
      <w:r>
        <w:rPr>
          <w:rFonts w:hint="eastAsia" w:ascii="方正仿宋_GBK" w:hAnsi="方正仿宋_GBK" w:eastAsia="方正仿宋_GBK" w:cs="方正仿宋_GBK"/>
          <w:color w:val="000000"/>
          <w:sz w:val="32"/>
          <w:szCs w:val="32"/>
        </w:rPr>
        <w:t>政务公开工作人员业务素养得到有效提升。</w:t>
      </w:r>
      <w:r>
        <w:rPr>
          <w:rFonts w:hint="eastAsia" w:ascii="方正仿宋_GBK" w:hAnsi="方正仿宋_GBK" w:eastAsia="方正仿宋_GBK" w:cs="方正仿宋_GBK"/>
          <w:b/>
          <w:bCs/>
          <w:color w:val="000000"/>
          <w:sz w:val="32"/>
          <w:szCs w:val="32"/>
          <w:lang w:eastAsia="zh-CN"/>
        </w:rPr>
        <w:t>五是做好宣传引导。</w:t>
      </w:r>
      <w:r>
        <w:rPr>
          <w:rFonts w:hint="eastAsia" w:ascii="方正仿宋_GBK" w:hAnsi="方正仿宋_GBK" w:eastAsia="方正仿宋_GBK" w:cs="方正仿宋_GBK"/>
          <w:b w:val="0"/>
          <w:bCs/>
          <w:color w:val="000000"/>
          <w:sz w:val="32"/>
          <w:szCs w:val="32"/>
          <w:u w:val="none"/>
          <w:lang w:eastAsia="zh-CN"/>
        </w:rPr>
        <w:t>坚持宣传先行，利用</w:t>
      </w:r>
      <w:r>
        <w:rPr>
          <w:rFonts w:hint="eastAsia" w:ascii="方正仿宋_GBK" w:hAnsi="方正仿宋_GBK" w:eastAsia="方正仿宋_GBK" w:cs="方正仿宋_GBK"/>
          <w:b w:val="0"/>
          <w:bCs/>
          <w:color w:val="000000"/>
          <w:sz w:val="32"/>
          <w:szCs w:val="32"/>
          <w:u w:val="none"/>
        </w:rPr>
        <w:t>路</w:t>
      </w:r>
      <w:r>
        <w:rPr>
          <w:rFonts w:hint="eastAsia" w:ascii="方正仿宋_GBK" w:hAnsi="方正仿宋_GBK" w:eastAsia="方正仿宋_GBK" w:cs="方正仿宋_GBK"/>
          <w:b w:val="0"/>
          <w:bCs/>
          <w:color w:val="000000"/>
          <w:sz w:val="32"/>
          <w:szCs w:val="32"/>
          <w:u w:val="none"/>
          <w:lang w:eastAsia="zh-CN"/>
        </w:rPr>
        <w:t>标</w:t>
      </w:r>
      <w:r>
        <w:rPr>
          <w:rFonts w:hint="eastAsia" w:ascii="方正仿宋_GBK" w:hAnsi="方正仿宋_GBK" w:eastAsia="方正仿宋_GBK" w:cs="方正仿宋_GBK"/>
          <w:b w:val="0"/>
          <w:bCs/>
          <w:color w:val="000000"/>
          <w:sz w:val="32"/>
          <w:szCs w:val="32"/>
          <w:u w:val="none"/>
        </w:rPr>
        <w:t>牌广告位及公交车体等平台载体投放政务公开公益广告及宣传标语；在政府门户网站及时更新发布</w:t>
      </w:r>
      <w:r>
        <w:rPr>
          <w:rFonts w:hint="eastAsia" w:ascii="方正仿宋_GBK" w:hAnsi="方正仿宋_GBK" w:eastAsia="方正仿宋_GBK" w:cs="方正仿宋_GBK"/>
          <w:b w:val="0"/>
          <w:bCs/>
          <w:color w:val="000000"/>
          <w:sz w:val="32"/>
          <w:szCs w:val="32"/>
          <w:lang w:eastAsia="zh-CN"/>
        </w:rPr>
        <w:t>政务</w:t>
      </w:r>
      <w:r>
        <w:rPr>
          <w:rFonts w:hint="eastAsia" w:ascii="方正仿宋_GBK" w:hAnsi="方正仿宋_GBK" w:eastAsia="方正仿宋_GBK" w:cs="方正仿宋_GBK"/>
          <w:b w:val="0"/>
          <w:bCs/>
          <w:color w:val="000000"/>
          <w:sz w:val="32"/>
          <w:szCs w:val="32"/>
        </w:rPr>
        <w:t>信息</w:t>
      </w:r>
      <w:r>
        <w:rPr>
          <w:rFonts w:hint="eastAsia" w:ascii="方正仿宋_GBK" w:hAnsi="方正仿宋_GBK" w:eastAsia="方正仿宋_GBK" w:cs="方正仿宋_GBK"/>
          <w:b w:val="0"/>
          <w:bCs/>
          <w:color w:val="000000"/>
          <w:sz w:val="32"/>
          <w:szCs w:val="32"/>
          <w:lang w:eastAsia="zh-CN"/>
        </w:rPr>
        <w:t>，积极回应社会关切，营造了全社会充分知情、有序参与、全面监督的浓厚氛围。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eastAsia" w:ascii="方正楷体_GBK" w:hAnsi="方正楷体_GBK" w:eastAsia="方正楷体_GBK" w:cs="方正楷体_GBK"/>
          <w:b/>
          <w:bCs/>
          <w:color w:val="000000"/>
          <w:sz w:val="32"/>
          <w:szCs w:val="32"/>
          <w:lang w:val="en-US" w:eastAsia="zh-CN"/>
        </w:rPr>
      </w:pPr>
      <w:r>
        <w:rPr>
          <w:rFonts w:hint="eastAsia" w:ascii="方正楷体_GBK" w:hAnsi="方正楷体_GBK" w:eastAsia="方正楷体_GBK" w:cs="方正楷体_GBK"/>
          <w:b/>
          <w:bCs/>
          <w:color w:val="000000"/>
          <w:sz w:val="32"/>
          <w:szCs w:val="32"/>
          <w:lang w:val="en-US" w:eastAsia="zh-CN"/>
        </w:rPr>
        <w:t>（二）加强平台建设，增强公开保障能力。</w:t>
      </w:r>
      <w:r>
        <w:rPr>
          <w:rFonts w:hint="eastAsia" w:ascii="方正仿宋_GBK" w:hAnsi="方正仿宋_GBK" w:eastAsia="方正仿宋_GBK" w:cs="方正仿宋_GBK"/>
          <w:color w:val="000000"/>
          <w:sz w:val="32"/>
          <w:szCs w:val="32"/>
          <w:lang w:val="en-US" w:eastAsia="zh-CN"/>
        </w:rPr>
        <w:t>持续做</w:t>
      </w:r>
      <w:r>
        <w:rPr>
          <w:rFonts w:hint="eastAsia" w:ascii="方正仿宋_GBK" w:hAnsi="方正仿宋_GBK" w:eastAsia="方正仿宋_GBK" w:cs="方正仿宋_GBK"/>
          <w:color w:val="000000"/>
          <w:sz w:val="32"/>
          <w:szCs w:val="32"/>
        </w:rPr>
        <w:t>优</w:t>
      </w:r>
      <w:r>
        <w:rPr>
          <w:rFonts w:hint="eastAsia" w:ascii="方正仿宋_GBK" w:hAnsi="方正仿宋_GBK" w:eastAsia="方正仿宋_GBK" w:cs="方正仿宋_GBK"/>
          <w:color w:val="000000"/>
          <w:sz w:val="32"/>
          <w:szCs w:val="32"/>
          <w:lang w:eastAsia="zh-CN"/>
        </w:rPr>
        <w:t>做强</w:t>
      </w:r>
      <w:r>
        <w:rPr>
          <w:rFonts w:hint="eastAsia" w:ascii="方正仿宋_GBK" w:hAnsi="方正仿宋_GBK" w:eastAsia="方正仿宋_GBK" w:cs="方正仿宋_GBK"/>
          <w:color w:val="000000"/>
          <w:sz w:val="32"/>
          <w:szCs w:val="32"/>
        </w:rPr>
        <w:t>政务公开六大平台，实现受众全覆盖。</w:t>
      </w:r>
      <w:r>
        <w:rPr>
          <w:rFonts w:hint="eastAsia" w:ascii="方正仿宋_GBK" w:hAnsi="方正仿宋_GBK" w:eastAsia="方正仿宋_GBK" w:cs="方正仿宋_GBK"/>
          <w:b/>
          <w:bCs/>
          <w:color w:val="000000"/>
          <w:sz w:val="32"/>
          <w:szCs w:val="32"/>
          <w:shd w:val="clear" w:color="auto" w:fill="FFFFFF"/>
          <w:lang w:eastAsia="zh-CN"/>
        </w:rPr>
        <w:t>进一步</w:t>
      </w:r>
      <w:r>
        <w:rPr>
          <w:rFonts w:hint="eastAsia" w:ascii="方正仿宋_GBK" w:hAnsi="方正仿宋_GBK" w:eastAsia="方正仿宋_GBK" w:cs="方正仿宋_GBK"/>
          <w:b/>
          <w:bCs/>
          <w:color w:val="000000"/>
          <w:sz w:val="32"/>
          <w:szCs w:val="32"/>
          <w:shd w:val="clear" w:color="auto" w:fill="FFFFFF"/>
        </w:rPr>
        <w:t>优化门户网站</w:t>
      </w: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rPr>
        <w:t>以“互联网+”为手段，健全</w:t>
      </w:r>
      <w:r>
        <w:rPr>
          <w:rFonts w:hint="eastAsia" w:ascii="方正仿宋_GBK" w:hAnsi="方正仿宋_GBK" w:eastAsia="方正仿宋_GBK" w:cs="方正仿宋_GBK"/>
          <w:color w:val="000000"/>
          <w:sz w:val="32"/>
          <w:szCs w:val="32"/>
          <w:lang w:eastAsia="zh-CN"/>
        </w:rPr>
        <w:t>政府门户网站</w:t>
      </w:r>
      <w:r>
        <w:rPr>
          <w:rFonts w:hint="eastAsia" w:ascii="方正仿宋_GBK" w:hAnsi="方正仿宋_GBK" w:eastAsia="方正仿宋_GBK" w:cs="方正仿宋_GBK"/>
          <w:color w:val="000000"/>
          <w:sz w:val="32"/>
          <w:szCs w:val="32"/>
        </w:rPr>
        <w:t>新闻发布、政务公开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会议公开等32个</w:t>
      </w:r>
      <w:r>
        <w:rPr>
          <w:rFonts w:hint="eastAsia" w:ascii="方正仿宋_GBK" w:hAnsi="方正仿宋_GBK" w:eastAsia="方正仿宋_GBK" w:cs="方正仿宋_GBK"/>
          <w:color w:val="000000"/>
          <w:sz w:val="32"/>
          <w:szCs w:val="32"/>
          <w:lang w:eastAsia="zh-CN"/>
        </w:rPr>
        <w:t>版块</w:t>
      </w:r>
      <w:r>
        <w:rPr>
          <w:rFonts w:hint="eastAsia" w:ascii="方正仿宋_GBK" w:hAnsi="方正仿宋_GBK" w:eastAsia="方正仿宋_GBK" w:cs="方正仿宋_GBK"/>
          <w:color w:val="000000"/>
          <w:sz w:val="32"/>
          <w:szCs w:val="32"/>
        </w:rPr>
        <w:t>内容，嵌入以“五公开”为构架</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智能</w:t>
      </w:r>
      <w:r>
        <w:rPr>
          <w:rFonts w:hint="eastAsia" w:ascii="方正仿宋_GBK" w:hAnsi="方正仿宋_GBK" w:eastAsia="方正仿宋_GBK" w:cs="方正仿宋_GBK"/>
          <w:color w:val="000000"/>
          <w:sz w:val="32"/>
          <w:szCs w:val="32"/>
          <w:lang w:eastAsia="zh-CN"/>
        </w:rPr>
        <w:t>管理</w:t>
      </w:r>
      <w:r>
        <w:rPr>
          <w:rFonts w:hint="eastAsia" w:ascii="方正仿宋_GBK" w:hAnsi="方正仿宋_GBK" w:eastAsia="方正仿宋_GBK" w:cs="方正仿宋_GBK"/>
          <w:color w:val="000000"/>
          <w:sz w:val="32"/>
          <w:szCs w:val="32"/>
        </w:rPr>
        <w:t>平台，集合信息发布、内容展示、统计监测等功能</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政府网站逐步朝着</w:t>
      </w:r>
      <w:r>
        <w:rPr>
          <w:rFonts w:hint="eastAsia" w:ascii="方正仿宋_GBK" w:hAnsi="方正仿宋_GBK" w:eastAsia="方正仿宋_GBK" w:cs="方正仿宋_GBK"/>
          <w:color w:val="000000"/>
          <w:sz w:val="32"/>
          <w:szCs w:val="32"/>
          <w:lang w:eastAsia="zh-CN"/>
        </w:rPr>
        <w:t>结构明确、重点突出、管理规范的方向发展，全年</w:t>
      </w:r>
      <w:r>
        <w:rPr>
          <w:rFonts w:hint="eastAsia" w:ascii="方正仿宋_GBK" w:hAnsi="方正仿宋_GBK" w:eastAsia="方正仿宋_GBK" w:cs="方正仿宋_GBK"/>
          <w:color w:val="000000"/>
          <w:sz w:val="32"/>
          <w:szCs w:val="32"/>
          <w:u w:val="none" w:color="auto"/>
          <w:lang w:eastAsia="zh-CN"/>
        </w:rPr>
        <w:t>公开各类政府信息</w:t>
      </w:r>
      <w:r>
        <w:rPr>
          <w:rFonts w:hint="eastAsia" w:ascii="方正仿宋_GBK" w:hAnsi="方正仿宋_GBK" w:eastAsia="方正仿宋_GBK" w:cs="方正仿宋_GBK"/>
          <w:color w:val="000000"/>
          <w:sz w:val="32"/>
          <w:szCs w:val="32"/>
          <w:u w:val="none" w:color="auto"/>
          <w:lang w:val="en-US" w:eastAsia="zh-CN"/>
        </w:rPr>
        <w:t>5100余</w:t>
      </w:r>
      <w:r>
        <w:rPr>
          <w:rFonts w:hint="eastAsia" w:ascii="方正仿宋_GBK" w:hAnsi="方正仿宋_GBK" w:eastAsia="方正仿宋_GBK" w:cs="方正仿宋_GBK"/>
          <w:color w:val="000000"/>
          <w:sz w:val="32"/>
          <w:szCs w:val="32"/>
          <w:u w:val="none" w:color="auto"/>
          <w:lang w:eastAsia="zh-CN"/>
        </w:rPr>
        <w:t>条。</w:t>
      </w:r>
      <w:r>
        <w:rPr>
          <w:rFonts w:hint="eastAsia" w:ascii="方正仿宋_GBK" w:hAnsi="方正仿宋_GBK" w:eastAsia="方正仿宋_GBK" w:cs="方正仿宋_GBK"/>
          <w:b/>
          <w:bCs/>
          <w:color w:val="000000"/>
          <w:sz w:val="32"/>
          <w:lang w:val="en-US" w:eastAsia="zh-CN"/>
        </w:rPr>
        <w:t>扎实做好政务新媒体监管运维，</w:t>
      </w:r>
      <w:r>
        <w:rPr>
          <w:rFonts w:hint="eastAsia" w:ascii="方正仿宋_GBK" w:hAnsi="方正仿宋_GBK" w:eastAsia="方正仿宋_GBK" w:cs="方正仿宋_GBK"/>
          <w:color w:val="000000"/>
          <w:sz w:val="32"/>
          <w:szCs w:val="32"/>
          <w:u w:val="none" w:color="auto"/>
          <w:lang w:eastAsia="zh-CN"/>
        </w:rPr>
        <w:t>不断优化微</w:t>
      </w:r>
      <w:r>
        <w:rPr>
          <w:rFonts w:hint="eastAsia" w:ascii="方正仿宋_GBK" w:hAnsi="方正仿宋_GBK" w:eastAsia="方正仿宋_GBK" w:cs="方正仿宋_GBK"/>
          <w:color w:val="000000"/>
          <w:sz w:val="32"/>
          <w:szCs w:val="32"/>
          <w:lang w:val="en-US" w:eastAsia="zh-CN"/>
        </w:rPr>
        <w:t>信矩阵，统筹管理政务新媒体，对全市66个微信公众号及26个政务微博进行自查，集中清理了一批“僵尸”“睡眠”等问题账号，统筹管理政务新媒体，高质高效整改存在问题，形成了以“青铜峡政府网”市级微信公众号为引领，29个微信公众号组成的政务新媒体矩阵，累计发布信息7400余条。</w:t>
      </w:r>
      <w:r>
        <w:rPr>
          <w:rFonts w:hint="eastAsia" w:ascii="方正仿宋_GBK" w:hAnsi="方正仿宋_GBK" w:eastAsia="方正仿宋_GBK" w:cs="方正仿宋_GBK"/>
          <w:b/>
          <w:bCs/>
          <w:color w:val="000000"/>
          <w:sz w:val="32"/>
          <w:szCs w:val="32"/>
          <w:shd w:val="clear" w:color="auto" w:fill="FFFFFF"/>
          <w:lang w:eastAsia="zh-CN"/>
        </w:rPr>
        <w:t>提高政府信息查阅室服务水平，</w:t>
      </w:r>
      <w:r>
        <w:rPr>
          <w:rFonts w:hint="eastAsia" w:ascii="方正仿宋_GBK" w:hAnsi="方正仿宋_GBK" w:eastAsia="方正仿宋_GBK" w:cs="方正仿宋_GBK"/>
          <w:color w:val="000000"/>
          <w:sz w:val="32"/>
          <w:szCs w:val="32"/>
          <w:shd w:val="clear" w:color="auto" w:fill="FFFFFF"/>
          <w:lang w:eastAsia="zh-CN"/>
        </w:rPr>
        <w:t>充分发挥</w:t>
      </w:r>
      <w:r>
        <w:rPr>
          <w:rFonts w:hint="eastAsia" w:ascii="方正仿宋_GBK" w:hAnsi="方正仿宋_GBK" w:eastAsia="方正仿宋_GBK" w:cs="方正仿宋_GBK"/>
          <w:color w:val="000000"/>
          <w:sz w:val="32"/>
          <w:szCs w:val="32"/>
          <w:shd w:val="clear" w:color="auto" w:fill="FFFFFF"/>
          <w:lang w:val="en-US" w:eastAsia="zh-CN"/>
        </w:rPr>
        <w:t>3个</w:t>
      </w:r>
      <w:r>
        <w:rPr>
          <w:rFonts w:hint="eastAsia" w:ascii="方正仿宋_GBK" w:hAnsi="方正仿宋_GBK" w:eastAsia="方正仿宋_GBK" w:cs="方正仿宋_GBK"/>
          <w:color w:val="000000"/>
          <w:sz w:val="32"/>
          <w:szCs w:val="32"/>
          <w:shd w:val="clear" w:color="auto" w:fill="FFFFFF"/>
        </w:rPr>
        <w:t>政府信息查阅室</w:t>
      </w:r>
      <w:r>
        <w:rPr>
          <w:rFonts w:hint="eastAsia" w:ascii="方正仿宋_GBK" w:hAnsi="方正仿宋_GBK" w:eastAsia="方正仿宋_GBK" w:cs="方正仿宋_GBK"/>
          <w:color w:val="000000"/>
          <w:sz w:val="32"/>
          <w:szCs w:val="32"/>
          <w:shd w:val="clear" w:color="auto" w:fill="FFFFFF"/>
          <w:lang w:eastAsia="zh-CN"/>
        </w:rPr>
        <w:t>功能</w:t>
      </w:r>
      <w:r>
        <w:rPr>
          <w:rFonts w:hint="eastAsia" w:ascii="方正仿宋_GBK" w:hAnsi="方正仿宋_GBK" w:eastAsia="方正仿宋_GBK" w:cs="方正仿宋_GBK"/>
          <w:color w:val="000000"/>
          <w:sz w:val="32"/>
          <w:szCs w:val="32"/>
          <w:shd w:val="clear" w:color="auto" w:fill="FFFFFF"/>
          <w:lang w:val="en-US" w:eastAsia="zh-CN"/>
        </w:rPr>
        <w:t>，在</w:t>
      </w:r>
      <w:r>
        <w:rPr>
          <w:rFonts w:hint="eastAsia" w:ascii="方正仿宋_GBK" w:hAnsi="方正仿宋_GBK" w:eastAsia="方正仿宋_GBK" w:cs="方正仿宋_GBK"/>
          <w:color w:val="000000"/>
          <w:sz w:val="32"/>
          <w:szCs w:val="32"/>
          <w:shd w:val="clear" w:color="auto" w:fill="FFFFFF"/>
        </w:rPr>
        <w:t>各镇、街道民生服务大厅及部分村、社区设立政府信息查阅点</w:t>
      </w:r>
      <w:r>
        <w:rPr>
          <w:rFonts w:hint="eastAsia" w:ascii="方正仿宋_GBK" w:hAnsi="方正仿宋_GBK" w:eastAsia="方正仿宋_GBK" w:cs="方正仿宋_GBK"/>
          <w:color w:val="000000"/>
          <w:sz w:val="32"/>
          <w:szCs w:val="32"/>
          <w:shd w:val="clear" w:color="auto" w:fill="FFFFFF"/>
          <w:lang w:val="en-US" w:eastAsia="zh-CN"/>
        </w:rPr>
        <w:t>13个</w:t>
      </w:r>
      <w:r>
        <w:rPr>
          <w:rFonts w:hint="eastAsia" w:ascii="方正仿宋_GBK" w:hAnsi="方正仿宋_GBK" w:eastAsia="方正仿宋_GBK" w:cs="方正仿宋_GBK"/>
          <w:color w:val="000000"/>
          <w:sz w:val="32"/>
          <w:szCs w:val="32"/>
          <w:shd w:val="clear" w:color="auto" w:fill="FFFFFF"/>
        </w:rPr>
        <w:t>，按标准统一配备查询终端、计算机、打印机等设施，录入历年主动公开公文</w:t>
      </w:r>
      <w:r>
        <w:rPr>
          <w:rFonts w:hint="eastAsia" w:ascii="方正仿宋_GBK" w:hAnsi="方正仿宋_GBK" w:eastAsia="方正仿宋_GBK" w:cs="方正仿宋_GBK"/>
          <w:color w:val="000000"/>
          <w:sz w:val="32"/>
          <w:szCs w:val="32"/>
          <w:shd w:val="clear" w:color="auto" w:fill="FFFFFF"/>
          <w:lang w:val="en-US" w:eastAsia="zh-CN"/>
        </w:rPr>
        <w:t>1200</w:t>
      </w:r>
      <w:r>
        <w:rPr>
          <w:rFonts w:hint="eastAsia" w:ascii="方正仿宋_GBK" w:hAnsi="方正仿宋_GBK" w:eastAsia="方正仿宋_GBK" w:cs="方正仿宋_GBK"/>
          <w:color w:val="000000"/>
          <w:sz w:val="32"/>
          <w:szCs w:val="32"/>
          <w:shd w:val="clear" w:color="auto" w:fill="FFFFFF"/>
        </w:rPr>
        <w:t>余</w:t>
      </w:r>
      <w:r>
        <w:rPr>
          <w:rFonts w:hint="eastAsia" w:ascii="方正仿宋_GBK" w:hAnsi="方正仿宋_GBK" w:eastAsia="方正仿宋_GBK" w:cs="方正仿宋_GBK"/>
          <w:color w:val="000000"/>
          <w:sz w:val="32"/>
          <w:szCs w:val="32"/>
          <w:u w:val="none"/>
          <w:shd w:val="clear" w:color="auto" w:fill="FFFFFF"/>
          <w:lang w:eastAsia="zh-CN"/>
        </w:rPr>
        <w:t>份，</w:t>
      </w:r>
      <w:r>
        <w:rPr>
          <w:rFonts w:hint="eastAsia" w:ascii="方正仿宋_GBK" w:hAnsi="方正仿宋_GBK" w:eastAsia="方正仿宋_GBK" w:cs="方正仿宋_GBK"/>
          <w:color w:val="000000"/>
          <w:sz w:val="32"/>
          <w:szCs w:val="32"/>
          <w:shd w:val="clear" w:color="auto" w:fill="FFFFFF"/>
          <w:lang w:eastAsia="zh-CN"/>
        </w:rPr>
        <w:t>方便群众随时查询政府信息。</w:t>
      </w:r>
      <w:r>
        <w:rPr>
          <w:rFonts w:hint="eastAsia" w:ascii="方正仿宋_GBK" w:hAnsi="方正仿宋_GBK" w:eastAsia="方正仿宋_GBK" w:cs="方正仿宋_GBK"/>
          <w:b/>
          <w:bCs/>
          <w:color w:val="000000"/>
          <w:sz w:val="32"/>
          <w:szCs w:val="32"/>
          <w:u w:val="none"/>
          <w:shd w:val="clear" w:color="auto" w:fill="FFFFFF"/>
        </w:rPr>
        <w:t>建立以“12345”为统一对外号码的热线平台</w:t>
      </w:r>
      <w:r>
        <w:rPr>
          <w:rFonts w:hint="eastAsia" w:ascii="方正仿宋_GBK" w:hAnsi="方正仿宋_GBK" w:eastAsia="方正仿宋_GBK" w:cs="方正仿宋_GBK"/>
          <w:color w:val="000000"/>
          <w:sz w:val="32"/>
          <w:szCs w:val="32"/>
          <w:u w:val="none"/>
          <w:shd w:val="clear" w:color="auto" w:fill="FFFFFF"/>
        </w:rPr>
        <w:t>，</w:t>
      </w:r>
      <w:r>
        <w:rPr>
          <w:rFonts w:hint="eastAsia" w:ascii="方正仿宋_GBK" w:hAnsi="方正仿宋_GBK" w:eastAsia="方正仿宋_GBK" w:cs="方正仿宋_GBK"/>
          <w:color w:val="000000"/>
          <w:sz w:val="32"/>
          <w:szCs w:val="32"/>
          <w:u w:val="none" w:color="auto"/>
          <w:shd w:val="clear" w:color="auto" w:fill="FFFFFF"/>
          <w:lang w:eastAsia="zh-CN"/>
        </w:rPr>
        <w:t>加</w:t>
      </w:r>
      <w:r>
        <w:rPr>
          <w:rFonts w:hint="eastAsia" w:ascii="方正仿宋_GBK" w:hAnsi="方正仿宋_GBK" w:eastAsia="方正仿宋_GBK" w:cs="方正仿宋_GBK"/>
          <w:color w:val="000000"/>
          <w:sz w:val="32"/>
          <w:szCs w:val="32"/>
          <w:u w:val="none" w:color="auto"/>
          <w:lang w:eastAsia="zh-CN"/>
        </w:rPr>
        <w:t>大</w:t>
      </w:r>
      <w:r>
        <w:rPr>
          <w:rFonts w:hint="eastAsia" w:ascii="方正仿宋_GBK" w:hAnsi="方正仿宋_GBK" w:eastAsia="方正仿宋_GBK" w:cs="方正仿宋_GBK"/>
          <w:color w:val="000000"/>
          <w:sz w:val="32"/>
          <w:szCs w:val="32"/>
          <w:u w:val="none" w:color="auto"/>
        </w:rPr>
        <w:t>“12345”</w:t>
      </w:r>
      <w:r>
        <w:rPr>
          <w:rFonts w:hint="eastAsia" w:ascii="方正仿宋_GBK" w:hAnsi="方正仿宋_GBK" w:eastAsia="方正仿宋_GBK" w:cs="方正仿宋_GBK"/>
          <w:color w:val="000000"/>
          <w:sz w:val="32"/>
          <w:szCs w:val="32"/>
          <w:u w:val="none" w:color="auto"/>
          <w:lang w:eastAsia="zh-CN"/>
        </w:rPr>
        <w:t>来电督办力度，定期通报办理情况，</w:t>
      </w:r>
      <w:r>
        <w:rPr>
          <w:rFonts w:hint="eastAsia" w:ascii="方正仿宋_GBK" w:hAnsi="方正仿宋_GBK" w:eastAsia="方正仿宋_GBK" w:cs="方正仿宋_GBK"/>
          <w:color w:val="000000"/>
          <w:kern w:val="1"/>
          <w:sz w:val="32"/>
          <w:szCs w:val="32"/>
          <w:u w:val="none" w:color="auto"/>
          <w:shd w:val="clear" w:color="auto" w:fill="FFFFFF"/>
          <w:lang w:eastAsia="zh-CN"/>
        </w:rPr>
        <w:t>全年</w:t>
      </w:r>
      <w:r>
        <w:rPr>
          <w:rFonts w:hint="eastAsia" w:ascii="方正仿宋_GBK" w:hAnsi="方正仿宋_GBK" w:eastAsia="方正仿宋_GBK" w:cs="方正仿宋_GBK"/>
          <w:color w:val="000000"/>
          <w:kern w:val="1"/>
          <w:sz w:val="32"/>
          <w:szCs w:val="32"/>
          <w:u w:val="none" w:color="auto"/>
          <w:shd w:val="clear" w:color="auto" w:fill="FFFFFF"/>
        </w:rPr>
        <w:t>共受理</w:t>
      </w:r>
      <w:r>
        <w:rPr>
          <w:rFonts w:hint="eastAsia" w:ascii="方正仿宋_GBK" w:hAnsi="方正仿宋_GBK" w:eastAsia="方正仿宋_GBK" w:cs="方正仿宋_GBK"/>
          <w:color w:val="000000"/>
          <w:sz w:val="32"/>
          <w:szCs w:val="32"/>
          <w:u w:val="none" w:color="auto"/>
          <w:lang w:eastAsia="zh-CN"/>
        </w:rPr>
        <w:t>各类诉求件</w:t>
      </w:r>
      <w:r>
        <w:rPr>
          <w:rFonts w:hint="eastAsia" w:ascii="方正仿宋_GBK" w:hAnsi="方正仿宋_GBK" w:eastAsia="方正仿宋_GBK" w:cs="方正仿宋_GBK"/>
          <w:color w:val="000000"/>
          <w:sz w:val="32"/>
          <w:szCs w:val="32"/>
          <w:u w:val="none" w:color="auto"/>
          <w:lang w:val="en-US" w:eastAsia="zh-CN"/>
        </w:rPr>
        <w:t>9484</w:t>
      </w:r>
      <w:r>
        <w:rPr>
          <w:rFonts w:hint="eastAsia" w:ascii="方正仿宋_GBK" w:hAnsi="方正仿宋_GBK" w:eastAsia="方正仿宋_GBK" w:cs="方正仿宋_GBK"/>
          <w:color w:val="000000"/>
          <w:sz w:val="32"/>
          <w:szCs w:val="32"/>
          <w:u w:val="none" w:color="auto"/>
          <w:lang w:eastAsia="zh-CN"/>
        </w:rPr>
        <w:t>件，办结</w:t>
      </w:r>
      <w:r>
        <w:rPr>
          <w:rFonts w:hint="eastAsia" w:ascii="方正仿宋_GBK" w:hAnsi="方正仿宋_GBK" w:eastAsia="方正仿宋_GBK" w:cs="方正仿宋_GBK"/>
          <w:color w:val="000000"/>
          <w:sz w:val="32"/>
          <w:szCs w:val="32"/>
          <w:u w:val="none" w:color="auto"/>
          <w:lang w:val="en-US" w:eastAsia="zh-CN"/>
        </w:rPr>
        <w:t>9434</w:t>
      </w:r>
      <w:r>
        <w:rPr>
          <w:rFonts w:hint="eastAsia" w:ascii="方正仿宋_GBK" w:hAnsi="方正仿宋_GBK" w:eastAsia="方正仿宋_GBK" w:cs="方正仿宋_GBK"/>
          <w:color w:val="000000"/>
          <w:sz w:val="32"/>
          <w:szCs w:val="32"/>
          <w:u w:val="none" w:color="auto"/>
          <w:lang w:eastAsia="zh-CN"/>
        </w:rPr>
        <w:t>件，办结率</w:t>
      </w:r>
      <w:r>
        <w:rPr>
          <w:rFonts w:hint="eastAsia" w:ascii="方正仿宋_GBK" w:hAnsi="方正仿宋_GBK" w:eastAsia="方正仿宋_GBK" w:cs="方正仿宋_GBK"/>
          <w:color w:val="000000"/>
          <w:sz w:val="32"/>
          <w:szCs w:val="32"/>
          <w:u w:val="none" w:color="auto"/>
          <w:lang w:val="en-US" w:eastAsia="zh-CN"/>
        </w:rPr>
        <w:t>99.5</w:t>
      </w:r>
      <w:r>
        <w:rPr>
          <w:rFonts w:hint="eastAsia" w:ascii="方正仿宋_GBK" w:hAnsi="方正仿宋_GBK" w:eastAsia="方正仿宋_GBK" w:cs="方正仿宋_GBK"/>
          <w:color w:val="000000"/>
          <w:sz w:val="32"/>
          <w:szCs w:val="32"/>
          <w:u w:val="none" w:color="auto"/>
          <w:lang w:eastAsia="zh-CN"/>
        </w:rPr>
        <w:t>%，确保件件有回</w:t>
      </w:r>
      <w:r>
        <w:rPr>
          <w:rFonts w:hint="eastAsia" w:ascii="方正仿宋_GBK" w:hAnsi="方正仿宋_GBK" w:eastAsia="方正仿宋_GBK" w:cs="方正仿宋_GBK"/>
          <w:color w:val="000000"/>
          <w:sz w:val="32"/>
          <w:szCs w:val="32"/>
          <w:u w:val="none" w:color="auto"/>
        </w:rPr>
        <w:t>音、事事有结果。</w:t>
      </w:r>
      <w:r>
        <w:rPr>
          <w:rFonts w:hint="eastAsia" w:ascii="方正仿宋_GBK" w:hAnsi="方正仿宋_GBK" w:eastAsia="方正仿宋_GBK" w:cs="方正仿宋_GBK"/>
          <w:b/>
          <w:bCs/>
          <w:color w:val="000000"/>
          <w:sz w:val="32"/>
          <w:szCs w:val="32"/>
          <w:shd w:val="clear" w:color="auto" w:fill="FFFFFF"/>
          <w:lang w:eastAsia="zh-CN"/>
        </w:rPr>
        <w:t>坚持办好</w:t>
      </w:r>
      <w:r>
        <w:rPr>
          <w:rFonts w:hint="eastAsia" w:ascii="方正仿宋_GBK" w:hAnsi="方正仿宋_GBK" w:eastAsia="方正仿宋_GBK" w:cs="方正仿宋_GBK"/>
          <w:b/>
          <w:bCs/>
          <w:color w:val="000000"/>
          <w:sz w:val="32"/>
          <w:szCs w:val="32"/>
          <w:shd w:val="clear" w:color="auto" w:fill="FFFFFF"/>
        </w:rPr>
        <w:t>《青铜峡市人民政府公报》</w:t>
      </w: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lang w:eastAsia="zh-CN"/>
        </w:rPr>
        <w:t>将政府公报工作所需经费列入财政预算，完善政府公报编审工作规范和制度体系，切实办好本级政府公报，全年共发行</w:t>
      </w:r>
      <w:r>
        <w:rPr>
          <w:rFonts w:hint="eastAsia" w:ascii="方正仿宋_GBK" w:hAnsi="方正仿宋_GBK" w:eastAsia="方正仿宋_GBK" w:cs="方正仿宋_GBK"/>
          <w:color w:val="000000"/>
          <w:sz w:val="32"/>
          <w:szCs w:val="32"/>
          <w:lang w:val="en-US" w:eastAsia="zh-CN"/>
        </w:rPr>
        <w:t>4期2000册，</w:t>
      </w:r>
      <w:r>
        <w:rPr>
          <w:rFonts w:hint="eastAsia" w:ascii="方正仿宋_GBK" w:hAnsi="方正仿宋_GBK" w:eastAsia="方正仿宋_GBK" w:cs="方正仿宋_GBK"/>
          <w:color w:val="000000"/>
          <w:sz w:val="32"/>
          <w:szCs w:val="32"/>
          <w:lang w:eastAsia="zh-CN"/>
        </w:rPr>
        <w:t>并实现公报同步上网，方便公众获取，提升使用效果。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rPr>
      </w:pPr>
      <w:r>
        <w:rPr>
          <w:rFonts w:hint="eastAsia" w:ascii="方正楷体_GBK" w:hAnsi="方正楷体_GBK" w:eastAsia="方正楷体_GBK" w:cs="方正楷体_GBK"/>
          <w:b/>
          <w:bCs/>
          <w:color w:val="000000"/>
          <w:sz w:val="32"/>
          <w:szCs w:val="32"/>
          <w:lang w:val="en-US" w:eastAsia="zh-CN"/>
        </w:rPr>
        <w:t>（三）加强政策解读，促进决策见实效。</w:t>
      </w:r>
      <w:r>
        <w:rPr>
          <w:rFonts w:hint="eastAsia" w:ascii="方正仿宋_GBK" w:hAnsi="方正仿宋_GBK" w:eastAsia="方正仿宋_GBK" w:cs="方正仿宋_GBK"/>
          <w:color w:val="000000"/>
          <w:kern w:val="0"/>
          <w:sz w:val="32"/>
          <w:szCs w:val="32"/>
          <w:lang w:val="en-US" w:eastAsia="zh-CN"/>
        </w:rPr>
        <w:t>深入学习贯彻《</w:t>
      </w:r>
      <w:r>
        <w:rPr>
          <w:rFonts w:hint="eastAsia" w:ascii="方正仿宋_GBK" w:hAnsi="方正仿宋_GBK" w:eastAsia="方正仿宋_GBK" w:cs="方正仿宋_GBK"/>
          <w:color w:val="000000"/>
          <w:kern w:val="0"/>
          <w:sz w:val="32"/>
          <w:szCs w:val="32"/>
        </w:rPr>
        <w:t>中华人民共和国政府信息公开条例</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坚持“谁起草</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谁解读”的原则，将政策解读工作嵌入公文审前程序，公文与政策解读文件同步审核、同步公开</w:t>
      </w:r>
      <w:r>
        <w:rPr>
          <w:rFonts w:hint="eastAsia" w:ascii="方正仿宋_GBK" w:hAnsi="方正仿宋_GBK" w:eastAsia="方正仿宋_GBK" w:cs="方正仿宋_GBK"/>
          <w:color w:val="000000"/>
          <w:kern w:val="0"/>
          <w:sz w:val="32"/>
          <w:szCs w:val="32"/>
          <w:lang w:eastAsia="zh-CN"/>
        </w:rPr>
        <w:t>，采用图解等多种形式解读</w:t>
      </w:r>
      <w:r>
        <w:rPr>
          <w:rFonts w:hint="eastAsia" w:ascii="方正仿宋_GBK" w:hAnsi="方正仿宋_GBK" w:eastAsia="方正仿宋_GBK" w:cs="方正仿宋_GBK"/>
          <w:color w:val="000000"/>
          <w:kern w:val="2"/>
          <w:sz w:val="32"/>
          <w:szCs w:val="32"/>
          <w:lang w:val="en-US" w:eastAsia="zh-CN" w:bidi="ar-SA"/>
        </w:rPr>
        <w:t>文件</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通过</w:t>
      </w:r>
      <w:r>
        <w:rPr>
          <w:rFonts w:hint="eastAsia" w:ascii="方正仿宋_GBK" w:hAnsi="方正仿宋_GBK" w:eastAsia="方正仿宋_GBK" w:cs="方正仿宋_GBK"/>
          <w:color w:val="000000"/>
          <w:sz w:val="32"/>
        </w:rPr>
        <w:t>政府网站“政策解读”专栏，发布、归集和更新解读内容，有效推动了各项政策措施的宣介和落地。</w:t>
      </w:r>
      <w:r>
        <w:rPr>
          <w:rFonts w:hint="eastAsia" w:ascii="方正仿宋_GBK" w:hAnsi="方正仿宋_GBK" w:eastAsia="方正仿宋_GBK" w:cs="方正仿宋_GBK"/>
          <w:color w:val="000000"/>
          <w:sz w:val="32"/>
          <w:lang w:eastAsia="zh-CN"/>
        </w:rPr>
        <w:t>全市</w:t>
      </w:r>
      <w:r>
        <w:rPr>
          <w:rFonts w:hint="eastAsia" w:ascii="方正仿宋_GBK" w:hAnsi="方正仿宋_GBK" w:eastAsia="方正仿宋_GBK" w:cs="方正仿宋_GBK"/>
          <w:color w:val="000000"/>
          <w:sz w:val="32"/>
        </w:rPr>
        <w:t>各部门围绕实施创新驱动、脱贫富民、生态立区“三大战略”、推进供给侧结构性改革、加快工业转型升级、民生实事等重大政策措施，多频次、多渠道、多形式阐释政策</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lang w:val="en-US" w:eastAsia="zh-CN"/>
        </w:rPr>
        <w:t>针对</w:t>
      </w:r>
      <w:r>
        <w:rPr>
          <w:rFonts w:hint="eastAsia" w:ascii="方正仿宋_GBK" w:hAnsi="方正仿宋_GBK" w:eastAsia="方正仿宋_GBK" w:cs="方正仿宋_GBK"/>
          <w:color w:val="000000"/>
          <w:sz w:val="32"/>
        </w:rPr>
        <w:t>涉及面广、社会关注度高的重要政策措施，组织各级行政机关负责人通过参加新闻发布会、接受访谈、等方式带头宣讲政策、解疑释惑，传递权威信息。</w:t>
      </w:r>
      <w:r>
        <w:rPr>
          <w:rFonts w:hint="eastAsia" w:ascii="方正仿宋_GBK" w:hAnsi="方正仿宋_GBK" w:eastAsia="方正仿宋_GBK" w:cs="方正仿宋_GBK"/>
          <w:color w:val="000000"/>
          <w:sz w:val="32"/>
          <w:u w:val="none" w:color="auto"/>
          <w:lang w:val="en-US" w:eastAsia="zh-CN"/>
        </w:rPr>
        <w:t>全年</w:t>
      </w:r>
      <w:r>
        <w:rPr>
          <w:rFonts w:hint="eastAsia" w:ascii="方正仿宋_GBK" w:hAnsi="方正仿宋_GBK" w:eastAsia="方正仿宋_GBK" w:cs="方正仿宋_GBK"/>
          <w:color w:val="000000"/>
          <w:sz w:val="32"/>
          <w:u w:val="none" w:color="auto"/>
        </w:rPr>
        <w:t>全</w:t>
      </w:r>
      <w:r>
        <w:rPr>
          <w:rFonts w:hint="eastAsia" w:ascii="方正仿宋_GBK" w:hAnsi="方正仿宋_GBK" w:eastAsia="方正仿宋_GBK" w:cs="方正仿宋_GBK"/>
          <w:color w:val="000000"/>
          <w:sz w:val="32"/>
          <w:u w:val="none" w:color="auto"/>
          <w:lang w:eastAsia="zh-CN"/>
        </w:rPr>
        <w:t>市</w:t>
      </w:r>
      <w:r>
        <w:rPr>
          <w:rFonts w:hint="eastAsia" w:ascii="方正仿宋_GBK" w:hAnsi="方正仿宋_GBK" w:eastAsia="方正仿宋_GBK" w:cs="方正仿宋_GBK"/>
          <w:color w:val="000000"/>
          <w:sz w:val="32"/>
          <w:u w:val="none" w:color="auto"/>
        </w:rPr>
        <w:t>各行政机关共发布政策解读稿件</w:t>
      </w:r>
      <w:r>
        <w:rPr>
          <w:rFonts w:hint="eastAsia" w:ascii="方正仿宋_GBK" w:hAnsi="方正仿宋_GBK" w:eastAsia="方正仿宋_GBK" w:cs="方正仿宋_GBK"/>
          <w:color w:val="000000"/>
          <w:sz w:val="32"/>
          <w:u w:val="none" w:color="auto"/>
          <w:lang w:val="en-US" w:eastAsia="zh-CN"/>
        </w:rPr>
        <w:t>19</w:t>
      </w:r>
      <w:r>
        <w:rPr>
          <w:rFonts w:hint="eastAsia" w:ascii="方正仿宋_GBK" w:hAnsi="方正仿宋_GBK" w:eastAsia="方正仿宋_GBK" w:cs="方正仿宋_GBK"/>
          <w:color w:val="000000"/>
          <w:sz w:val="32"/>
          <w:u w:val="none" w:color="auto"/>
        </w:rPr>
        <w:t>篇</w:t>
      </w:r>
      <w:r>
        <w:rPr>
          <w:rFonts w:hint="eastAsia" w:ascii="方正仿宋_GBK" w:hAnsi="方正仿宋_GBK" w:eastAsia="方正仿宋_GBK" w:cs="方正仿宋_GBK"/>
          <w:color w:val="000000"/>
          <w:sz w:val="32"/>
          <w:u w:val="none" w:color="auto"/>
          <w:lang w:eastAsia="zh-CN"/>
        </w:rPr>
        <w:t>，举办《引客入青政策》新闻发布会</w:t>
      </w:r>
      <w:r>
        <w:rPr>
          <w:rFonts w:hint="eastAsia" w:ascii="方正仿宋_GBK" w:hAnsi="方正仿宋_GBK" w:eastAsia="方正仿宋_GBK" w:cs="方正仿宋_GBK"/>
          <w:color w:val="000000"/>
          <w:sz w:val="32"/>
          <w:u w:val="none" w:color="auto"/>
          <w:lang w:val="en-US" w:eastAsia="zh-CN"/>
        </w:rPr>
        <w:t>1场</w:t>
      </w:r>
      <w:r>
        <w:rPr>
          <w:rFonts w:hint="eastAsia" w:ascii="方正仿宋_GBK" w:hAnsi="方正仿宋_GBK" w:eastAsia="方正仿宋_GBK" w:cs="方正仿宋_GBK"/>
          <w:color w:val="000000"/>
          <w:sz w:val="32"/>
          <w:u w:val="none" w:color="auto"/>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000000"/>
          <w:sz w:val="32"/>
          <w:szCs w:val="32"/>
          <w:u w:val="single" w:color="auto"/>
          <w:lang w:val="en-US" w:eastAsia="zh-CN"/>
        </w:rPr>
      </w:pPr>
      <w:r>
        <w:rPr>
          <w:rFonts w:hint="eastAsia" w:ascii="方正楷体_GBK" w:hAnsi="方正楷体_GBK" w:eastAsia="方正楷体_GBK" w:cs="方正楷体_GBK"/>
          <w:b/>
          <w:bCs/>
          <w:color w:val="000000"/>
          <w:sz w:val="32"/>
          <w:szCs w:val="32"/>
          <w:lang w:val="en-US" w:eastAsia="zh-CN"/>
        </w:rPr>
        <w:t>（四）积极回应关切，引导政民互动。</w:t>
      </w:r>
      <w:r>
        <w:rPr>
          <w:rFonts w:hint="eastAsia" w:ascii="方正仿宋_GBK" w:hAnsi="方正仿宋_GBK" w:eastAsia="方正仿宋_GBK" w:cs="方正仿宋_GBK"/>
          <w:b/>
          <w:bCs/>
          <w:color w:val="000000"/>
          <w:sz w:val="32"/>
          <w:szCs w:val="32"/>
          <w:lang w:val="en-US" w:eastAsia="zh-CN"/>
        </w:rPr>
        <w:t>一是及时回应社会关切。</w:t>
      </w:r>
      <w:r>
        <w:rPr>
          <w:rFonts w:hint="eastAsia" w:ascii="方正仿宋_GBK" w:hAnsi="方正仿宋_GBK" w:eastAsia="方正仿宋_GBK" w:cs="方正仿宋_GBK"/>
          <w:color w:val="000000"/>
          <w:sz w:val="32"/>
          <w:lang w:val="en-US" w:eastAsia="zh-CN"/>
        </w:rPr>
        <w:t>市政府办公室</w:t>
      </w:r>
      <w:r>
        <w:rPr>
          <w:rFonts w:hint="eastAsia" w:ascii="方正仿宋_GBK" w:hAnsi="方正仿宋_GBK" w:eastAsia="方正仿宋_GBK" w:cs="方正仿宋_GBK"/>
          <w:color w:val="000000"/>
          <w:sz w:val="32"/>
        </w:rPr>
        <w:t>主动加强与</w:t>
      </w:r>
      <w:r>
        <w:rPr>
          <w:rFonts w:hint="eastAsia" w:ascii="方正仿宋_GBK" w:hAnsi="方正仿宋_GBK" w:eastAsia="方正仿宋_GBK" w:cs="方正仿宋_GBK"/>
          <w:color w:val="000000"/>
          <w:sz w:val="32"/>
          <w:lang w:eastAsia="zh-CN"/>
        </w:rPr>
        <w:t>市委</w:t>
      </w:r>
      <w:r>
        <w:rPr>
          <w:rFonts w:hint="eastAsia" w:ascii="方正仿宋_GBK" w:hAnsi="方正仿宋_GBK" w:eastAsia="方正仿宋_GBK" w:cs="方正仿宋_GBK"/>
          <w:color w:val="000000"/>
          <w:sz w:val="32"/>
        </w:rPr>
        <w:t>宣传、网信等部门的工作对接，协调指导各行政机关依托政府网站、“两微一端”政务新媒体及“</w:t>
      </w:r>
      <w:r>
        <w:rPr>
          <w:rFonts w:hint="eastAsia" w:ascii="方正仿宋_GBK" w:hAnsi="方正仿宋_GBK" w:eastAsia="方正仿宋_GBK" w:cs="方正仿宋_GBK"/>
          <w:color w:val="000000"/>
          <w:sz w:val="32"/>
          <w:lang w:val="en-US" w:eastAsia="zh-CN"/>
        </w:rPr>
        <w:t>12345</w:t>
      </w:r>
      <w:r>
        <w:rPr>
          <w:rFonts w:hint="eastAsia" w:ascii="方正仿宋_GBK" w:hAnsi="方正仿宋_GBK" w:eastAsia="方正仿宋_GBK" w:cs="方正仿宋_GBK"/>
          <w:color w:val="000000"/>
          <w:sz w:val="32"/>
        </w:rPr>
        <w:t>”</w:t>
      </w:r>
      <w:r>
        <w:rPr>
          <w:rFonts w:hint="eastAsia" w:ascii="方正仿宋_GBK" w:hAnsi="方正仿宋_GBK" w:eastAsia="方正仿宋_GBK" w:cs="方正仿宋_GBK"/>
          <w:color w:val="000000"/>
          <w:sz w:val="32"/>
          <w:lang w:eastAsia="zh-CN"/>
        </w:rPr>
        <w:t>便民服务</w:t>
      </w:r>
      <w:r>
        <w:rPr>
          <w:rFonts w:hint="eastAsia" w:ascii="方正仿宋_GBK" w:hAnsi="方正仿宋_GBK" w:eastAsia="方正仿宋_GBK" w:cs="方正仿宋_GBK"/>
          <w:color w:val="000000"/>
          <w:sz w:val="32"/>
        </w:rPr>
        <w:t>热线，搭建舆情监测“探头”，了解掌握重要政务舆情，加强分析研判，及时予以回应，正确引导舆论</w:t>
      </w:r>
      <w:r>
        <w:rPr>
          <w:rFonts w:hint="eastAsia" w:ascii="方正仿宋_GBK" w:hAnsi="方正仿宋_GBK" w:eastAsia="方正仿宋_GBK" w:cs="方正仿宋_GBK"/>
          <w:color w:val="000000"/>
          <w:sz w:val="32"/>
          <w:lang w:eastAsia="zh-CN"/>
        </w:rPr>
        <w:t>。全年共发布舆情专报</w:t>
      </w:r>
      <w:r>
        <w:rPr>
          <w:rFonts w:hint="eastAsia" w:ascii="方正仿宋_GBK" w:hAnsi="方正仿宋_GBK" w:eastAsia="方正仿宋_GBK" w:cs="方正仿宋_GBK"/>
          <w:color w:val="000000"/>
          <w:sz w:val="32"/>
          <w:lang w:val="en-US" w:eastAsia="zh-CN"/>
        </w:rPr>
        <w:t>48期，</w:t>
      </w:r>
      <w:r>
        <w:rPr>
          <w:rFonts w:hint="eastAsia" w:ascii="方正仿宋_GBK" w:hAnsi="方正仿宋_GBK" w:eastAsia="方正仿宋_GBK" w:cs="方正仿宋_GBK"/>
          <w:color w:val="000000"/>
          <w:sz w:val="32"/>
        </w:rPr>
        <w:t>各级行政机关回应公众关注热点和政务舆情</w:t>
      </w:r>
      <w:r>
        <w:rPr>
          <w:rFonts w:hint="eastAsia" w:ascii="方正仿宋_GBK" w:hAnsi="方正仿宋_GBK" w:eastAsia="方正仿宋_GBK" w:cs="方正仿宋_GBK"/>
          <w:color w:val="000000"/>
          <w:sz w:val="32"/>
          <w:lang w:val="en-US" w:eastAsia="zh-CN"/>
        </w:rPr>
        <w:t>80余</w:t>
      </w:r>
      <w:r>
        <w:rPr>
          <w:rFonts w:hint="eastAsia" w:ascii="方正仿宋_GBK" w:hAnsi="方正仿宋_GBK" w:eastAsia="方正仿宋_GBK" w:cs="方正仿宋_GBK"/>
          <w:color w:val="000000"/>
          <w:sz w:val="32"/>
        </w:rPr>
        <w:t>次。</w:t>
      </w:r>
      <w:r>
        <w:rPr>
          <w:rFonts w:hint="eastAsia" w:ascii="方正仿宋_GBK" w:hAnsi="方正仿宋_GBK" w:eastAsia="方正仿宋_GBK" w:cs="方正仿宋_GBK"/>
          <w:b/>
          <w:bCs/>
          <w:color w:val="000000"/>
          <w:sz w:val="32"/>
          <w:lang w:val="en-US" w:eastAsia="zh-CN"/>
        </w:rPr>
        <w:t>二是积极解决群众诉求。</w:t>
      </w:r>
      <w:r>
        <w:rPr>
          <w:rFonts w:hint="eastAsia" w:ascii="方正仿宋_GBK" w:hAnsi="方正仿宋_GBK" w:eastAsia="方正仿宋_GBK" w:cs="方正仿宋_GBK"/>
          <w:color w:val="000000"/>
          <w:sz w:val="32"/>
        </w:rPr>
        <w:t>对人民群众通过政府网站“领导信箱”等渠道反映的诉求，及时协调有关方面进行解决。</w:t>
      </w:r>
      <w:r>
        <w:rPr>
          <w:rFonts w:hint="eastAsia" w:ascii="方正仿宋_GBK" w:hAnsi="方正仿宋_GBK" w:eastAsia="方正仿宋_GBK" w:cs="方正仿宋_GBK"/>
          <w:color w:val="000000"/>
          <w:sz w:val="32"/>
          <w:lang w:eastAsia="zh-CN"/>
        </w:rPr>
        <w:t>全年</w:t>
      </w:r>
      <w:r>
        <w:rPr>
          <w:rFonts w:hint="eastAsia" w:ascii="方正仿宋_GBK" w:hAnsi="方正仿宋_GBK" w:eastAsia="方正仿宋_GBK" w:cs="方正仿宋_GBK"/>
          <w:color w:val="000000"/>
          <w:sz w:val="32"/>
        </w:rPr>
        <w:t>受理政府门户网站“</w:t>
      </w:r>
      <w:r>
        <w:rPr>
          <w:rFonts w:hint="eastAsia" w:ascii="方正仿宋_GBK" w:hAnsi="方正仿宋_GBK" w:eastAsia="方正仿宋_GBK" w:cs="方正仿宋_GBK"/>
          <w:color w:val="000000"/>
          <w:sz w:val="32"/>
          <w:lang w:eastAsia="zh-CN"/>
        </w:rPr>
        <w:t>市长</w:t>
      </w:r>
      <w:r>
        <w:rPr>
          <w:rFonts w:hint="eastAsia" w:ascii="方正仿宋_GBK" w:hAnsi="方正仿宋_GBK" w:eastAsia="方正仿宋_GBK" w:cs="方正仿宋_GBK"/>
          <w:color w:val="000000"/>
          <w:sz w:val="32"/>
        </w:rPr>
        <w:t>信箱”和人民网地方领导留言板</w:t>
      </w:r>
      <w:r>
        <w:rPr>
          <w:rFonts w:hint="eastAsia" w:ascii="方正仿宋_GBK" w:hAnsi="方正仿宋_GBK" w:eastAsia="方正仿宋_GBK" w:cs="方正仿宋_GBK"/>
          <w:color w:val="000000"/>
          <w:sz w:val="32"/>
          <w:lang w:eastAsia="zh-CN"/>
        </w:rPr>
        <w:t>等</w:t>
      </w:r>
      <w:r>
        <w:rPr>
          <w:rFonts w:hint="eastAsia" w:ascii="方正仿宋_GBK" w:hAnsi="方正仿宋_GBK" w:eastAsia="方正仿宋_GBK" w:cs="方正仿宋_GBK"/>
          <w:color w:val="000000"/>
          <w:sz w:val="32"/>
        </w:rPr>
        <w:t>群众来信</w:t>
      </w:r>
      <w:r>
        <w:rPr>
          <w:rFonts w:hint="eastAsia" w:ascii="方正仿宋_GBK" w:hAnsi="方正仿宋_GBK" w:eastAsia="方正仿宋_GBK" w:cs="方正仿宋_GBK"/>
          <w:color w:val="000000"/>
          <w:sz w:val="32"/>
          <w:lang w:val="en-US" w:eastAsia="zh-CN"/>
        </w:rPr>
        <w:t>240</w:t>
      </w:r>
      <w:r>
        <w:rPr>
          <w:rFonts w:hint="eastAsia" w:ascii="方正仿宋_GBK" w:hAnsi="方正仿宋_GBK" w:eastAsia="方正仿宋_GBK" w:cs="方正仿宋_GBK"/>
          <w:color w:val="000000"/>
          <w:sz w:val="32"/>
        </w:rPr>
        <w:t>件，对信访人身份信息真实有效、诉求问题明确</w:t>
      </w:r>
      <w:r>
        <w:rPr>
          <w:rFonts w:hint="eastAsia" w:ascii="方正仿宋_GBK" w:hAnsi="方正仿宋_GBK" w:eastAsia="方正仿宋_GBK" w:cs="方正仿宋_GBK"/>
          <w:color w:val="000000"/>
          <w:sz w:val="32"/>
          <w:lang w:eastAsia="zh-CN"/>
        </w:rPr>
        <w:t>的</w:t>
      </w:r>
      <w:r>
        <w:rPr>
          <w:rFonts w:hint="eastAsia" w:ascii="方正仿宋_GBK" w:hAnsi="方正仿宋_GBK" w:eastAsia="方正仿宋_GBK" w:cs="方正仿宋_GBK"/>
          <w:color w:val="000000"/>
          <w:sz w:val="32"/>
        </w:rPr>
        <w:t>来信全部办结答复，受到网民的高度认可。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楷体_GBK" w:hAnsi="方正楷体_GBK" w:eastAsia="方正楷体_GBK" w:cs="方正楷体_GBK"/>
          <w:b/>
          <w:bCs/>
          <w:color w:val="000000"/>
          <w:sz w:val="32"/>
          <w:szCs w:val="32"/>
          <w:lang w:val="en-US" w:eastAsia="zh-CN"/>
        </w:rPr>
        <w:t>（五）强化制度落实，做好规定动作。</w:t>
      </w:r>
      <w:r>
        <w:rPr>
          <w:rFonts w:hint="eastAsia" w:ascii="方正仿宋_GBK" w:hAnsi="方正仿宋_GBK" w:eastAsia="方正仿宋_GBK" w:cs="方正仿宋_GBK"/>
          <w:b/>
          <w:bCs/>
          <w:color w:val="000000"/>
          <w:sz w:val="32"/>
        </w:rPr>
        <w:t>一是严格审查和标识公文公开属性。</w:t>
      </w:r>
      <w:r>
        <w:rPr>
          <w:rFonts w:hint="eastAsia" w:ascii="方正仿宋_GBK" w:hAnsi="方正仿宋_GBK" w:eastAsia="方正仿宋_GBK" w:cs="方正仿宋_GBK"/>
          <w:b w:val="0"/>
          <w:bCs w:val="0"/>
          <w:color w:val="000000"/>
          <w:sz w:val="32"/>
          <w:lang w:eastAsia="zh-CN"/>
        </w:rPr>
        <w:t>全市严格</w:t>
      </w:r>
      <w:r>
        <w:rPr>
          <w:rFonts w:hint="eastAsia" w:ascii="方正仿宋_GBK" w:hAnsi="方正仿宋_GBK" w:eastAsia="方正仿宋_GBK" w:cs="方正仿宋_GBK"/>
          <w:color w:val="000000"/>
          <w:sz w:val="32"/>
        </w:rPr>
        <w:t>公文保密审查和公开属性的源头认定、流程界定，</w:t>
      </w:r>
      <w:r>
        <w:rPr>
          <w:rFonts w:hint="eastAsia" w:ascii="方正仿宋_GBK" w:hAnsi="方正仿宋_GBK" w:eastAsia="方正仿宋_GBK" w:cs="方正仿宋_GBK"/>
          <w:color w:val="000000"/>
          <w:sz w:val="32"/>
          <w:szCs w:val="32"/>
        </w:rPr>
        <w:t>全市</w:t>
      </w:r>
      <w:r>
        <w:rPr>
          <w:rFonts w:hint="eastAsia" w:ascii="方正仿宋_GBK" w:hAnsi="方正仿宋_GBK" w:eastAsia="方正仿宋_GBK" w:cs="方正仿宋_GBK"/>
          <w:color w:val="000000"/>
          <w:sz w:val="32"/>
          <w:szCs w:val="32"/>
          <w:lang w:eastAsia="zh-CN"/>
        </w:rPr>
        <w:t>所有</w:t>
      </w:r>
      <w:r>
        <w:rPr>
          <w:rFonts w:hint="eastAsia" w:ascii="方正仿宋_GBK" w:hAnsi="方正仿宋_GBK" w:eastAsia="方正仿宋_GBK" w:cs="方正仿宋_GBK"/>
          <w:color w:val="000000"/>
          <w:sz w:val="32"/>
          <w:szCs w:val="32"/>
        </w:rPr>
        <w:t>部门、单位公文公开属性标识实现全覆盖；</w:t>
      </w:r>
      <w:r>
        <w:rPr>
          <w:rFonts w:hint="eastAsia" w:ascii="方正仿宋_GBK" w:hAnsi="方正仿宋_GBK" w:eastAsia="方正仿宋_GBK" w:cs="方正仿宋_GBK"/>
          <w:b/>
          <w:bCs/>
          <w:color w:val="000000"/>
          <w:sz w:val="32"/>
        </w:rPr>
        <w:t>二是推进重大决策预公开。</w:t>
      </w:r>
      <w:r>
        <w:rPr>
          <w:rFonts w:hint="eastAsia" w:ascii="方正仿宋_GBK" w:hAnsi="方正仿宋_GBK" w:eastAsia="方正仿宋_GBK" w:cs="方正仿宋_GBK"/>
          <w:color w:val="000000"/>
          <w:sz w:val="32"/>
        </w:rPr>
        <w:t>严格按照公众参与、专家论证、风险评估、合法性审查、集体讨论决定等法定程序办事，建立和实行重大决策预公开制度。</w:t>
      </w:r>
      <w:r>
        <w:rPr>
          <w:rFonts w:hint="eastAsia" w:ascii="方正仿宋_GBK" w:hAnsi="方正仿宋_GBK" w:eastAsia="方正仿宋_GBK" w:cs="方正仿宋_GBK"/>
          <w:b/>
          <w:bCs/>
          <w:color w:val="000000"/>
          <w:sz w:val="32"/>
        </w:rPr>
        <w:t>三是推进决策性会议公开。</w:t>
      </w:r>
      <w:r>
        <w:rPr>
          <w:rFonts w:hint="eastAsia" w:ascii="方正仿宋_GBK" w:hAnsi="方正仿宋_GBK" w:eastAsia="方正仿宋_GBK" w:cs="方正仿宋_GBK"/>
          <w:color w:val="000000"/>
          <w:sz w:val="32"/>
          <w:szCs w:val="32"/>
        </w:rPr>
        <w:t>修订《政府常务会议议事规则》，实现利益相关方</w:t>
      </w:r>
      <w:r>
        <w:rPr>
          <w:rFonts w:hint="eastAsia" w:ascii="方正仿宋_GBK" w:hAnsi="方正仿宋_GBK" w:eastAsia="方正仿宋_GBK" w:cs="方正仿宋_GBK"/>
          <w:color w:val="000000"/>
          <w:sz w:val="32"/>
        </w:rPr>
        <w:t>、“两代表一委员”、专家、媒体列席政府常务会议常态化，</w:t>
      </w:r>
      <w:r>
        <w:rPr>
          <w:rFonts w:hint="eastAsia" w:ascii="方正仿宋_GBK" w:hAnsi="方正仿宋_GBK" w:eastAsia="方正仿宋_GBK" w:cs="方正仿宋_GBK"/>
          <w:color w:val="000000"/>
          <w:sz w:val="32"/>
          <w:lang w:eastAsia="zh-CN"/>
        </w:rPr>
        <w:t>全年</w:t>
      </w:r>
      <w:r>
        <w:rPr>
          <w:rFonts w:hint="eastAsia" w:ascii="方正仿宋_GBK" w:hAnsi="方正仿宋_GBK" w:eastAsia="方正仿宋_GBK" w:cs="方正仿宋_GBK"/>
          <w:color w:val="000000"/>
          <w:sz w:val="32"/>
          <w:lang w:val="en-US" w:eastAsia="zh-CN"/>
        </w:rPr>
        <w:t>共邀请</w:t>
      </w:r>
      <w:r>
        <w:rPr>
          <w:rFonts w:hint="eastAsia" w:ascii="方正仿宋_GBK" w:hAnsi="方正仿宋_GBK" w:eastAsia="方正仿宋_GBK" w:cs="方正仿宋_GBK"/>
          <w:color w:val="000000"/>
          <w:sz w:val="32"/>
        </w:rPr>
        <w:t>“两代表一委员”</w:t>
      </w:r>
      <w:r>
        <w:rPr>
          <w:rFonts w:hint="eastAsia" w:ascii="方正仿宋_GBK" w:hAnsi="方正仿宋_GBK" w:eastAsia="方正仿宋_GBK" w:cs="方正仿宋_GBK"/>
          <w:color w:val="000000"/>
          <w:sz w:val="32"/>
          <w:lang w:eastAsia="zh-CN"/>
        </w:rPr>
        <w:t>列席政府常务会议</w:t>
      </w:r>
      <w:r>
        <w:rPr>
          <w:rFonts w:hint="eastAsia" w:ascii="方正仿宋_GBK" w:hAnsi="方正仿宋_GBK" w:eastAsia="方正仿宋_GBK" w:cs="方正仿宋_GBK"/>
          <w:color w:val="000000"/>
          <w:sz w:val="32"/>
          <w:lang w:val="en-US" w:eastAsia="zh-CN"/>
        </w:rPr>
        <w:t>25次50人。</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sz w:val="32"/>
          <w:szCs w:val="32"/>
          <w:lang w:val="en-US" w:eastAsia="zh-CN"/>
        </w:rPr>
        <w:t>（六）</w:t>
      </w:r>
      <w:r>
        <w:rPr>
          <w:rFonts w:hint="eastAsia" w:ascii="方正楷体_GBK" w:hAnsi="方正楷体_GBK" w:eastAsia="方正楷体_GBK" w:cs="方正楷体_GBK"/>
          <w:b/>
          <w:color w:val="000000"/>
          <w:sz w:val="32"/>
          <w:szCs w:val="32"/>
        </w:rPr>
        <w:t>深化重点领域公开，</w:t>
      </w:r>
      <w:r>
        <w:rPr>
          <w:rFonts w:hint="eastAsia" w:ascii="方正楷体_GBK" w:hAnsi="方正楷体_GBK" w:eastAsia="方正楷体_GBK" w:cs="方正楷体_GBK"/>
          <w:b/>
          <w:color w:val="000000"/>
          <w:sz w:val="32"/>
          <w:szCs w:val="32"/>
          <w:lang w:eastAsia="zh-CN"/>
        </w:rPr>
        <w:t>推</w:t>
      </w:r>
      <w:r>
        <w:rPr>
          <w:rFonts w:hint="eastAsia" w:ascii="方正楷体_GBK" w:hAnsi="方正楷体_GBK" w:eastAsia="方正楷体_GBK" w:cs="方正楷体_GBK"/>
          <w:b/>
          <w:color w:val="000000"/>
          <w:sz w:val="32"/>
          <w:szCs w:val="32"/>
        </w:rPr>
        <w:t>进政策落地落实</w:t>
      </w:r>
      <w:r>
        <w:rPr>
          <w:rFonts w:hint="eastAsia" w:ascii="方正楷体_GBK" w:hAnsi="方正楷体_GBK" w:eastAsia="方正楷体_GBK" w:cs="方正楷体_GBK"/>
          <w:b/>
          <w:color w:val="000000"/>
          <w:sz w:val="32"/>
          <w:szCs w:val="32"/>
          <w:lang w:eastAsia="zh-CN"/>
        </w:rPr>
        <w:t>。</w:t>
      </w:r>
      <w:r>
        <w:rPr>
          <w:rFonts w:hint="eastAsia" w:ascii="方正仿宋_GBK" w:hAnsi="方正仿宋_GBK" w:eastAsia="方正仿宋_GBK" w:cs="方正仿宋_GBK"/>
          <w:color w:val="000000"/>
          <w:sz w:val="32"/>
          <w:szCs w:val="32"/>
        </w:rPr>
        <w:t>全面贯彻落实中央和自治区有关重点领域政府信息公开的意见政策，</w:t>
      </w:r>
      <w:r>
        <w:rPr>
          <w:rFonts w:hint="eastAsia" w:ascii="方正仿宋_GBK" w:hAnsi="方正仿宋_GBK" w:eastAsia="方正仿宋_GBK" w:cs="方正仿宋_GBK"/>
          <w:color w:val="000000"/>
          <w:sz w:val="32"/>
          <w:szCs w:val="32"/>
          <w:lang w:eastAsia="zh-CN"/>
        </w:rPr>
        <w:t>切实</w:t>
      </w:r>
      <w:r>
        <w:rPr>
          <w:rFonts w:hint="eastAsia" w:ascii="方正仿宋_GBK" w:hAnsi="方正仿宋_GBK" w:eastAsia="方正仿宋_GBK" w:cs="方正仿宋_GBK"/>
          <w:color w:val="000000"/>
          <w:sz w:val="32"/>
          <w:szCs w:val="32"/>
        </w:rPr>
        <w:t>推进重点领域公开向“深水区”迈进。</w:t>
      </w:r>
      <w:r>
        <w:rPr>
          <w:rFonts w:hint="eastAsia" w:ascii="方正仿宋_GBK" w:hAnsi="方正仿宋_GBK" w:eastAsia="方正仿宋_GBK" w:cs="方正仿宋_GBK"/>
          <w:color w:val="000000"/>
          <w:sz w:val="32"/>
          <w:szCs w:val="32"/>
          <w:lang w:eastAsia="zh-CN"/>
        </w:rPr>
        <w:t>严格按照《青铜峡市财政预决算市、镇两级标准公开目录》，全市</w:t>
      </w:r>
      <w:r>
        <w:rPr>
          <w:rFonts w:hint="eastAsia" w:ascii="方正仿宋_GBK" w:hAnsi="方正仿宋_GBK" w:eastAsia="方正仿宋_GBK" w:cs="方正仿宋_GBK"/>
          <w:color w:val="000000"/>
          <w:sz w:val="32"/>
          <w:szCs w:val="32"/>
          <w:lang w:val="en-US" w:eastAsia="zh-CN"/>
        </w:rPr>
        <w:t>133家市镇两级部门、单位财政预决算全部通过</w:t>
      </w:r>
      <w:r>
        <w:rPr>
          <w:rFonts w:hint="eastAsia" w:ascii="方正仿宋_GBK" w:hAnsi="方正仿宋_GBK" w:eastAsia="方正仿宋_GBK" w:cs="方正仿宋_GBK"/>
          <w:color w:val="000000"/>
          <w:sz w:val="32"/>
          <w:szCs w:val="32"/>
          <w:lang w:eastAsia="zh-CN"/>
        </w:rPr>
        <w:t>门户网站、智能管理平台预决算专栏</w:t>
      </w:r>
      <w:r>
        <w:rPr>
          <w:rFonts w:hint="eastAsia" w:ascii="方正仿宋_GBK" w:hAnsi="方正仿宋_GBK" w:eastAsia="方正仿宋_GBK" w:cs="方正仿宋_GBK"/>
          <w:color w:val="000000"/>
          <w:sz w:val="32"/>
          <w:szCs w:val="32"/>
        </w:rPr>
        <w:t>集中</w:t>
      </w:r>
      <w:r>
        <w:rPr>
          <w:rFonts w:hint="eastAsia" w:ascii="方正仿宋_GBK" w:hAnsi="方正仿宋_GBK" w:eastAsia="方正仿宋_GBK" w:cs="方正仿宋_GBK"/>
          <w:color w:val="000000"/>
          <w:sz w:val="32"/>
          <w:szCs w:val="32"/>
          <w:lang w:eastAsia="zh-CN"/>
        </w:rPr>
        <w:t>公开。全年</w:t>
      </w:r>
      <w:r>
        <w:rPr>
          <w:rFonts w:hint="eastAsia" w:ascii="方正仿宋_GBK" w:hAnsi="方正仿宋_GBK" w:eastAsia="方正仿宋_GBK" w:cs="方正仿宋_GBK"/>
          <w:color w:val="000000"/>
          <w:sz w:val="32"/>
          <w:szCs w:val="32"/>
        </w:rPr>
        <w:t>公开重点审计项目计划、审计工作报告和审计整改报告</w:t>
      </w:r>
      <w:r>
        <w:rPr>
          <w:rFonts w:hint="eastAsia" w:ascii="方正仿宋_GBK" w:hAnsi="方正仿宋_GBK" w:eastAsia="方正仿宋_GBK" w:cs="方正仿宋_GBK"/>
          <w:color w:val="000000"/>
          <w:sz w:val="32"/>
          <w:szCs w:val="32"/>
          <w:lang w:eastAsia="zh-CN"/>
        </w:rPr>
        <w:t>等信息</w:t>
      </w:r>
      <w:r>
        <w:rPr>
          <w:rFonts w:hint="eastAsia" w:ascii="方正仿宋_GBK" w:hAnsi="方正仿宋_GBK" w:eastAsia="方正仿宋_GBK" w:cs="方正仿宋_GBK"/>
          <w:color w:val="000000"/>
          <w:sz w:val="32"/>
          <w:szCs w:val="32"/>
          <w:lang w:val="en-US" w:eastAsia="zh-CN"/>
        </w:rPr>
        <w:t>10余件</w:t>
      </w:r>
      <w:r>
        <w:rPr>
          <w:rFonts w:hint="eastAsia" w:ascii="方正仿宋_GBK" w:hAnsi="方正仿宋_GBK" w:eastAsia="方正仿宋_GBK" w:cs="方正仿宋_GBK"/>
          <w:color w:val="000000"/>
          <w:sz w:val="32"/>
          <w:szCs w:val="32"/>
        </w:rPr>
        <w:t>。依托宁夏公共资源交易</w:t>
      </w:r>
      <w:r>
        <w:rPr>
          <w:rFonts w:hint="eastAsia" w:ascii="方正仿宋_GBK" w:hAnsi="方正仿宋_GBK" w:eastAsia="方正仿宋_GBK" w:cs="方正仿宋_GBK"/>
          <w:color w:val="000000"/>
          <w:sz w:val="32"/>
          <w:szCs w:val="32"/>
          <w:lang w:eastAsia="zh-CN"/>
        </w:rPr>
        <w:t>等</w:t>
      </w:r>
      <w:r>
        <w:rPr>
          <w:rFonts w:hint="eastAsia" w:ascii="方正仿宋_GBK" w:hAnsi="方正仿宋_GBK" w:eastAsia="方正仿宋_GBK" w:cs="方正仿宋_GBK"/>
          <w:color w:val="000000"/>
          <w:sz w:val="32"/>
          <w:szCs w:val="32"/>
        </w:rPr>
        <w:t>平台，</w:t>
      </w:r>
      <w:r>
        <w:rPr>
          <w:rFonts w:hint="eastAsia" w:ascii="方正仿宋_GBK" w:hAnsi="方正仿宋_GBK" w:eastAsia="方正仿宋_GBK" w:cs="方正仿宋_GBK"/>
          <w:color w:val="000000"/>
          <w:sz w:val="32"/>
          <w:szCs w:val="32"/>
          <w:lang w:eastAsia="zh-CN"/>
        </w:rPr>
        <w:t>重点公开</w:t>
      </w:r>
      <w:r>
        <w:rPr>
          <w:rFonts w:hint="eastAsia" w:ascii="方正仿宋_GBK" w:hAnsi="方正仿宋_GBK" w:eastAsia="方正仿宋_GBK" w:cs="方正仿宋_GBK"/>
          <w:color w:val="000000"/>
          <w:sz w:val="32"/>
          <w:szCs w:val="32"/>
        </w:rPr>
        <w:t>公共资源交易</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重大建设项目批准和实施</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社会公益事业建设</w:t>
      </w:r>
      <w:r>
        <w:rPr>
          <w:rFonts w:hint="eastAsia" w:ascii="方正仿宋_GBK" w:hAnsi="方正仿宋_GBK" w:eastAsia="方正仿宋_GBK" w:cs="方正仿宋_GBK"/>
          <w:color w:val="000000"/>
          <w:sz w:val="32"/>
          <w:szCs w:val="32"/>
          <w:lang w:eastAsia="zh-CN"/>
        </w:rPr>
        <w:t>等</w:t>
      </w:r>
      <w:r>
        <w:rPr>
          <w:rFonts w:hint="eastAsia" w:ascii="方正仿宋_GBK" w:hAnsi="方正仿宋_GBK" w:eastAsia="方正仿宋_GBK" w:cs="方正仿宋_GBK"/>
          <w:color w:val="000000"/>
          <w:sz w:val="32"/>
          <w:szCs w:val="32"/>
        </w:rPr>
        <w:t>领域信息</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为推进公共资源配置全过程信息公开上水平起到引领作用。</w:t>
      </w:r>
      <w:r>
        <w:rPr>
          <w:rFonts w:hint="eastAsia" w:ascii="方正仿宋_GBK" w:hAnsi="方正仿宋_GBK" w:eastAsia="方正仿宋_GBK" w:cs="方正仿宋_GBK"/>
          <w:color w:val="000000"/>
          <w:sz w:val="32"/>
          <w:szCs w:val="32"/>
          <w:lang w:eastAsia="zh-CN"/>
        </w:rPr>
        <w:t>紧密结合全市实际，主动公开食品药品监督管理信息</w:t>
      </w:r>
      <w:r>
        <w:rPr>
          <w:rFonts w:hint="eastAsia" w:ascii="方正仿宋_GBK" w:hAnsi="方正仿宋_GBK" w:eastAsia="方正仿宋_GBK" w:cs="方正仿宋_GBK"/>
          <w:color w:val="000000"/>
          <w:sz w:val="32"/>
          <w:szCs w:val="32"/>
          <w:lang w:val="en-US" w:eastAsia="zh-CN"/>
        </w:rPr>
        <w:t>200余件，托底保障信息20余件</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抓好</w:t>
      </w:r>
      <w:r>
        <w:rPr>
          <w:rFonts w:hint="eastAsia" w:ascii="方正仿宋_GBK" w:hAnsi="方正仿宋_GBK" w:eastAsia="方正仿宋_GBK" w:cs="方正仿宋_GBK"/>
          <w:color w:val="000000"/>
          <w:sz w:val="32"/>
          <w:szCs w:val="32"/>
        </w:rPr>
        <w:t>“放管服”改革、就业创业、国资国企、防控金融风险、促进房地产市场平稳健康发展、城市综合执法、安全生产、涉农补贴、养老服务等重点领域政府信息公开工作，</w:t>
      </w:r>
      <w:r>
        <w:rPr>
          <w:rFonts w:hint="eastAsia" w:ascii="方正仿宋_GBK" w:hAnsi="方正仿宋_GBK" w:eastAsia="方正仿宋_GBK" w:cs="方正仿宋_GBK"/>
          <w:color w:val="000000"/>
          <w:sz w:val="32"/>
          <w:szCs w:val="32"/>
          <w:lang w:eastAsia="zh-CN"/>
        </w:rPr>
        <w:t>全年主动公开信息</w:t>
      </w:r>
      <w:r>
        <w:rPr>
          <w:rFonts w:hint="eastAsia" w:ascii="方正仿宋_GBK" w:hAnsi="方正仿宋_GBK" w:eastAsia="方正仿宋_GBK" w:cs="方正仿宋_GBK"/>
          <w:color w:val="000000"/>
          <w:sz w:val="32"/>
          <w:szCs w:val="32"/>
          <w:lang w:val="en-US" w:eastAsia="zh-CN"/>
        </w:rPr>
        <w:t>1800余条，切实以</w:t>
      </w:r>
      <w:r>
        <w:rPr>
          <w:rFonts w:hint="eastAsia" w:ascii="方正仿宋_GBK" w:hAnsi="方正仿宋_GBK" w:eastAsia="方正仿宋_GBK" w:cs="方正仿宋_GBK"/>
          <w:color w:val="000000"/>
          <w:sz w:val="32"/>
          <w:szCs w:val="32"/>
        </w:rPr>
        <w:t>公开促落实、以公开促规范、以公开促服务。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9"/>
        <w:tblpPr w:leftFromText="180" w:rightFromText="180" w:vertAnchor="text" w:horzAnchor="page" w:tblpX="1776" w:tblpY="688"/>
        <w:tblOverlap w:val="never"/>
        <w:tblW w:w="8535" w:type="dxa"/>
        <w:tblInd w:w="0" w:type="dxa"/>
        <w:tblLayout w:type="fixed"/>
        <w:tblCellMar>
          <w:top w:w="0" w:type="dxa"/>
          <w:left w:w="0" w:type="dxa"/>
          <w:bottom w:w="0" w:type="dxa"/>
          <w:right w:w="0" w:type="dxa"/>
        </w:tblCellMar>
      </w:tblPr>
      <w:tblGrid>
        <w:gridCol w:w="3508"/>
        <w:gridCol w:w="1875"/>
        <w:gridCol w:w="6"/>
        <w:gridCol w:w="1265"/>
        <w:gridCol w:w="1881"/>
      </w:tblGrid>
      <w:tr>
        <w:tblPrEx>
          <w:tblCellMar>
            <w:top w:w="0" w:type="dxa"/>
            <w:left w:w="0" w:type="dxa"/>
            <w:bottom w:w="0" w:type="dxa"/>
            <w:right w:w="0" w:type="dxa"/>
          </w:tblCellMar>
        </w:tblPrEx>
        <w:trPr>
          <w:trHeight w:val="672" w:hRule="atLeast"/>
        </w:trPr>
        <w:tc>
          <w:tcPr>
            <w:tcW w:w="8535"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第二十条第（一）项</w:t>
            </w:r>
          </w:p>
        </w:tc>
      </w:tr>
      <w:tr>
        <w:tblPrEx>
          <w:tblCellMar>
            <w:top w:w="0" w:type="dxa"/>
            <w:left w:w="0" w:type="dxa"/>
            <w:bottom w:w="0" w:type="dxa"/>
            <w:right w:w="0" w:type="dxa"/>
          </w:tblCellMar>
        </w:tblPrEx>
        <w:trPr>
          <w:trHeight w:val="882"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本年新</w:t>
            </w:r>
            <w:r>
              <w:rPr>
                <w:rFonts w:hint="eastAsia"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本年新</w:t>
            </w:r>
            <w:r>
              <w:rPr>
                <w:rFonts w:hint="eastAsia"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公开数量</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对外公开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总数量</w:t>
            </w:r>
          </w:p>
        </w:tc>
      </w:tr>
      <w:tr>
        <w:tblPrEx>
          <w:tblCellMar>
            <w:top w:w="0" w:type="dxa"/>
            <w:left w:w="0" w:type="dxa"/>
            <w:bottom w:w="0" w:type="dxa"/>
            <w:right w:w="0" w:type="dxa"/>
          </w:tblCellMar>
        </w:tblPrEx>
        <w:trPr>
          <w:trHeight w:val="523"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规章</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r>
      <w:tr>
        <w:tblPrEx>
          <w:tblCellMar>
            <w:top w:w="0" w:type="dxa"/>
            <w:left w:w="0" w:type="dxa"/>
            <w:bottom w:w="0" w:type="dxa"/>
            <w:right w:w="0" w:type="dxa"/>
          </w:tblCellMar>
        </w:tblPrEx>
        <w:trPr>
          <w:trHeight w:val="471"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规范性文件</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r>
      <w:tr>
        <w:tblPrEx>
          <w:tblCellMar>
            <w:top w:w="0" w:type="dxa"/>
            <w:left w:w="0" w:type="dxa"/>
            <w:bottom w:w="0" w:type="dxa"/>
            <w:right w:w="0" w:type="dxa"/>
          </w:tblCellMar>
        </w:tblPrEx>
        <w:trPr>
          <w:trHeight w:val="605" w:hRule="atLeast"/>
        </w:trPr>
        <w:tc>
          <w:tcPr>
            <w:tcW w:w="8535"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第二十条第（五）项</w:t>
            </w:r>
          </w:p>
        </w:tc>
      </w:tr>
      <w:tr>
        <w:tblPrEx>
          <w:tblCellMar>
            <w:top w:w="0" w:type="dxa"/>
            <w:left w:w="0" w:type="dxa"/>
            <w:bottom w:w="0" w:type="dxa"/>
            <w:right w:w="0" w:type="dxa"/>
          </w:tblCellMar>
        </w:tblPrEx>
        <w:trPr>
          <w:trHeight w:val="634"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上一年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处理决定数量</w:t>
            </w:r>
          </w:p>
        </w:tc>
      </w:tr>
      <w:tr>
        <w:tblPrEx>
          <w:tblCellMar>
            <w:top w:w="0" w:type="dxa"/>
            <w:left w:w="0" w:type="dxa"/>
            <w:bottom w:w="0" w:type="dxa"/>
            <w:right w:w="0" w:type="dxa"/>
          </w:tblCellMar>
        </w:tblPrEx>
        <w:trPr>
          <w:trHeight w:val="528"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行政许可</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225</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6113</w:t>
            </w:r>
          </w:p>
        </w:tc>
      </w:tr>
      <w:tr>
        <w:tblPrEx>
          <w:tblCellMar>
            <w:top w:w="0" w:type="dxa"/>
            <w:left w:w="0" w:type="dxa"/>
            <w:bottom w:w="0" w:type="dxa"/>
            <w:right w:w="0" w:type="dxa"/>
          </w:tblCellMar>
        </w:tblPrEx>
        <w:trPr>
          <w:trHeight w:val="550"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其他对外管理服务事项</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120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28</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16806</w:t>
            </w:r>
          </w:p>
        </w:tc>
      </w:tr>
      <w:tr>
        <w:tblPrEx>
          <w:tblCellMar>
            <w:top w:w="0" w:type="dxa"/>
            <w:left w:w="0" w:type="dxa"/>
            <w:bottom w:w="0" w:type="dxa"/>
            <w:right w:w="0" w:type="dxa"/>
          </w:tblCellMar>
        </w:tblPrEx>
        <w:trPr>
          <w:trHeight w:val="664" w:hRule="atLeast"/>
        </w:trPr>
        <w:tc>
          <w:tcPr>
            <w:tcW w:w="8535"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第二十条第（六）项</w:t>
            </w:r>
          </w:p>
        </w:tc>
      </w:tr>
      <w:tr>
        <w:tblPrEx>
          <w:tblCellMar>
            <w:top w:w="0" w:type="dxa"/>
            <w:left w:w="0" w:type="dxa"/>
            <w:bottom w:w="0" w:type="dxa"/>
            <w:right w:w="0" w:type="dxa"/>
          </w:tblCellMar>
        </w:tblPrEx>
        <w:trPr>
          <w:trHeight w:val="634"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上一年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处理决定数量</w:t>
            </w:r>
          </w:p>
        </w:tc>
      </w:tr>
      <w:tr>
        <w:tblPrEx>
          <w:tblCellMar>
            <w:top w:w="0" w:type="dxa"/>
            <w:left w:w="0" w:type="dxa"/>
            <w:bottom w:w="0" w:type="dxa"/>
            <w:right w:w="0" w:type="dxa"/>
          </w:tblCellMar>
        </w:tblPrEx>
        <w:trPr>
          <w:trHeight w:val="430"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行政处罚</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2447</w:t>
            </w:r>
          </w:p>
        </w:tc>
        <w:tc>
          <w:tcPr>
            <w:tcW w:w="12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+102</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2725</w:t>
            </w:r>
          </w:p>
        </w:tc>
      </w:tr>
      <w:tr>
        <w:tblPrEx>
          <w:tblCellMar>
            <w:top w:w="0" w:type="dxa"/>
            <w:left w:w="0" w:type="dxa"/>
            <w:bottom w:w="0" w:type="dxa"/>
            <w:right w:w="0" w:type="dxa"/>
          </w:tblCellMar>
        </w:tblPrEx>
        <w:trPr>
          <w:trHeight w:val="409"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行政强制</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122</w:t>
            </w:r>
          </w:p>
        </w:tc>
        <w:tc>
          <w:tcPr>
            <w:tcW w:w="12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31</w:t>
            </w:r>
          </w:p>
        </w:tc>
      </w:tr>
      <w:tr>
        <w:tblPrEx>
          <w:tblCellMar>
            <w:top w:w="0" w:type="dxa"/>
            <w:left w:w="0" w:type="dxa"/>
            <w:bottom w:w="0" w:type="dxa"/>
            <w:right w:w="0" w:type="dxa"/>
          </w:tblCellMar>
        </w:tblPrEx>
        <w:trPr>
          <w:trHeight w:val="666" w:hRule="atLeast"/>
        </w:trPr>
        <w:tc>
          <w:tcPr>
            <w:tcW w:w="8535"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第二十条第（八）项</w:t>
            </w:r>
          </w:p>
        </w:tc>
      </w:tr>
      <w:tr>
        <w:tblPrEx>
          <w:tblCellMar>
            <w:top w:w="0" w:type="dxa"/>
            <w:left w:w="0" w:type="dxa"/>
            <w:bottom w:w="0" w:type="dxa"/>
            <w:right w:w="0" w:type="dxa"/>
          </w:tblCellMar>
        </w:tblPrEx>
        <w:trPr>
          <w:trHeight w:val="270"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上一年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本年增/减</w:t>
            </w:r>
          </w:p>
        </w:tc>
      </w:tr>
      <w:tr>
        <w:tblPrEx>
          <w:tblCellMar>
            <w:top w:w="0" w:type="dxa"/>
            <w:left w:w="0" w:type="dxa"/>
            <w:bottom w:w="0" w:type="dxa"/>
            <w:right w:w="0" w:type="dxa"/>
          </w:tblCellMar>
        </w:tblPrEx>
        <w:trPr>
          <w:trHeight w:val="551"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行政事业性收费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24</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r>
      <w:tr>
        <w:tblPrEx>
          <w:tblCellMar>
            <w:top w:w="0" w:type="dxa"/>
            <w:left w:w="0" w:type="dxa"/>
            <w:bottom w:w="0" w:type="dxa"/>
            <w:right w:w="0" w:type="dxa"/>
          </w:tblCellMar>
        </w:tblPrEx>
        <w:trPr>
          <w:trHeight w:val="760" w:hRule="atLeast"/>
        </w:trPr>
        <w:tc>
          <w:tcPr>
            <w:tcW w:w="8535"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第二十条第（九）项</w:t>
            </w:r>
          </w:p>
        </w:tc>
      </w:tr>
      <w:tr>
        <w:tblPrEx>
          <w:tblCellMar>
            <w:top w:w="0" w:type="dxa"/>
            <w:left w:w="0" w:type="dxa"/>
            <w:bottom w:w="0" w:type="dxa"/>
            <w:right w:w="0" w:type="dxa"/>
          </w:tblCellMar>
        </w:tblPrEx>
        <w:trPr>
          <w:trHeight w:val="585"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采购项目数量</w:t>
            </w:r>
          </w:p>
        </w:tc>
        <w:tc>
          <w:tcPr>
            <w:tcW w:w="3152" w:type="dxa"/>
            <w:gridSpan w:val="3"/>
            <w:tcBorders>
              <w:top w:val="single" w:color="auto" w:sz="8" w:space="0"/>
              <w:left w:val="nil"/>
              <w:bottom w:val="single" w:color="auto"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采购总金额</w:t>
            </w:r>
          </w:p>
        </w:tc>
      </w:tr>
      <w:tr>
        <w:tblPrEx>
          <w:tblCellMar>
            <w:top w:w="0" w:type="dxa"/>
            <w:left w:w="0" w:type="dxa"/>
            <w:bottom w:w="0" w:type="dxa"/>
            <w:right w:w="0" w:type="dxa"/>
          </w:tblCellMar>
        </w:tblPrEx>
        <w:trPr>
          <w:trHeight w:val="539" w:hRule="atLeast"/>
        </w:trPr>
        <w:tc>
          <w:tcPr>
            <w:tcW w:w="350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政府集中采购</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74</w:t>
            </w:r>
          </w:p>
        </w:tc>
        <w:tc>
          <w:tcPr>
            <w:tcW w:w="3152" w:type="dxa"/>
            <w:gridSpan w:val="3"/>
            <w:tcBorders>
              <w:top w:val="nil"/>
              <w:left w:val="nil"/>
              <w:bottom w:val="single" w:color="auto"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10133.5万元</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36"/>
        <w:gridCol w:w="1236"/>
        <w:gridCol w:w="2352"/>
        <w:gridCol w:w="425"/>
        <w:gridCol w:w="533"/>
        <w:gridCol w:w="767"/>
        <w:gridCol w:w="866"/>
        <w:gridCol w:w="875"/>
        <w:gridCol w:w="425"/>
        <w:gridCol w:w="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24"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（本列数据的勾稽关系为：第一项加第二项之和，等于第三项加第四项之和）</w:t>
            </w:r>
          </w:p>
        </w:tc>
        <w:tc>
          <w:tcPr>
            <w:tcW w:w="4447"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24"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42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自然人</w:t>
            </w:r>
          </w:p>
        </w:tc>
        <w:tc>
          <w:tcPr>
            <w:tcW w:w="3466"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法人或其他组织</w:t>
            </w:r>
          </w:p>
        </w:tc>
        <w:tc>
          <w:tcPr>
            <w:tcW w:w="556"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4624"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42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商业企业</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科研机构</w:t>
            </w:r>
          </w:p>
        </w:tc>
        <w:tc>
          <w:tcPr>
            <w:tcW w:w="86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社会公益组织</w:t>
            </w:r>
          </w:p>
        </w:tc>
        <w:tc>
          <w:tcPr>
            <w:tcW w:w="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法律服务机构</w:t>
            </w:r>
          </w:p>
        </w:tc>
        <w:tc>
          <w:tcPr>
            <w:tcW w:w="42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w:t>
            </w:r>
          </w:p>
        </w:tc>
        <w:tc>
          <w:tcPr>
            <w:tcW w:w="556"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624"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一、本年新收政府信息公开申请数量</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24"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二、上年结转政府信息公开申请数量</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103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三、本年度办理结果</w:t>
            </w:r>
          </w:p>
        </w:tc>
        <w:tc>
          <w:tcPr>
            <w:tcW w:w="3588"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（一）予以公开</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3588"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（二）部分公开（区分处理的，只计这一情形，不计其他情形）</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（三）不予公开</w:t>
            </w: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1.属于国家秘密</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2.其他法律行政法规禁止公开</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3.危及“三安全一稳定”</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4.保护第三方合法权益</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5.属于三类内部事务信息</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6.属于四类过程性信息</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7.属于行政执法案卷</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8.属于行政查询事项</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（四）无法提供</w:t>
            </w: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1.本机关不掌握相关政府信息</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2.没有现成信息需要另行制作</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3.补正后申请内容仍不明确</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（五）不予处理</w:t>
            </w: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1.信访举报投诉类申请</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2.重复申请</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3.要求提供公开出版物</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4.无正当理由大量反复申请</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123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2352"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5.要求行政机关确认或重新出具已获取信息</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8" w:hRule="atLeast"/>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3588"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（六）其他处理</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3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p>
        </w:tc>
        <w:tc>
          <w:tcPr>
            <w:tcW w:w="3588"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（七）总计</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9" w:hRule="atLeast"/>
          <w:jc w:val="center"/>
        </w:trPr>
        <w:tc>
          <w:tcPr>
            <w:tcW w:w="4624"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四、结转下年度继续办理</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3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7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6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8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4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5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bl>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tbl>
      <w:tblPr>
        <w:tblStyle w:val="9"/>
        <w:tblW w:w="884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05"/>
        <w:gridCol w:w="605"/>
        <w:gridCol w:w="605"/>
        <w:gridCol w:w="605"/>
        <w:gridCol w:w="605"/>
        <w:gridCol w:w="605"/>
        <w:gridCol w:w="605"/>
        <w:gridCol w:w="605"/>
        <w:gridCol w:w="605"/>
        <w:gridCol w:w="605"/>
        <w:gridCol w:w="3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21"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行政复议</w:t>
            </w:r>
          </w:p>
        </w:tc>
        <w:tc>
          <w:tcPr>
            <w:tcW w:w="5824"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尚未审结</w:t>
            </w:r>
          </w:p>
        </w:tc>
        <w:tc>
          <w:tcPr>
            <w:tcW w:w="60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c>
          <w:tcPr>
            <w:tcW w:w="3025"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未经复议直接起诉</w:t>
            </w:r>
          </w:p>
        </w:tc>
        <w:tc>
          <w:tcPr>
            <w:tcW w:w="2799"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p>
        </w:tc>
        <w:tc>
          <w:tcPr>
            <w:tcW w:w="60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尚未审结</w:t>
            </w:r>
          </w:p>
        </w:tc>
        <w:tc>
          <w:tcPr>
            <w:tcW w:w="3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16</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p>
        </w:tc>
        <w:tc>
          <w:tcPr>
            <w:tcW w:w="3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宋体" w:eastAsia="方正仿宋_GBK" w:cs="宋体"/>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kern w:val="0"/>
          <w:sz w:val="32"/>
          <w:szCs w:val="32"/>
          <w:lang w:eastAsia="zh-CN"/>
        </w:rPr>
        <w:t>一年来，</w:t>
      </w:r>
      <w:r>
        <w:rPr>
          <w:rFonts w:hint="eastAsia" w:ascii="方正仿宋_GBK" w:hAnsi="方正仿宋_GBK" w:eastAsia="方正仿宋_GBK" w:cs="方正仿宋_GBK"/>
          <w:kern w:val="0"/>
          <w:sz w:val="32"/>
          <w:szCs w:val="32"/>
        </w:rPr>
        <w:t>虽然</w:t>
      </w:r>
      <w:r>
        <w:rPr>
          <w:rFonts w:hint="eastAsia" w:ascii="方正仿宋_GBK" w:hAnsi="方正仿宋_GBK" w:eastAsia="方正仿宋_GBK" w:cs="方正仿宋_GBK"/>
          <w:kern w:val="0"/>
          <w:sz w:val="32"/>
          <w:szCs w:val="32"/>
          <w:lang w:eastAsia="zh-CN"/>
        </w:rPr>
        <w:t>全</w:t>
      </w:r>
      <w:r>
        <w:rPr>
          <w:rFonts w:hint="eastAsia" w:ascii="方正仿宋_GBK" w:hAnsi="方正仿宋_GBK" w:eastAsia="方正仿宋_GBK" w:cs="方正仿宋_GBK"/>
          <w:kern w:val="0"/>
          <w:sz w:val="32"/>
          <w:szCs w:val="32"/>
        </w:rPr>
        <w:t>市政务公开取得了一定成效，但</w:t>
      </w:r>
      <w:r>
        <w:rPr>
          <w:rFonts w:hint="eastAsia" w:ascii="方正仿宋_GBK" w:hAnsi="方正仿宋_GBK" w:eastAsia="方正仿宋_GBK" w:cs="方正仿宋_GBK"/>
          <w:kern w:val="0"/>
          <w:sz w:val="32"/>
          <w:szCs w:val="32"/>
          <w:lang w:eastAsia="zh-CN"/>
        </w:rPr>
        <w:t>对标国务院、自治区要求</w:t>
      </w:r>
      <w:r>
        <w:rPr>
          <w:rFonts w:hint="eastAsia" w:ascii="方正仿宋_GBK" w:hAnsi="方正仿宋_GBK" w:eastAsia="方正仿宋_GBK" w:cs="方正仿宋_GBK"/>
          <w:sz w:val="32"/>
          <w:szCs w:val="32"/>
        </w:rPr>
        <w:t>还</w:t>
      </w:r>
      <w:r>
        <w:rPr>
          <w:rFonts w:hint="eastAsia" w:ascii="方正仿宋_GBK" w:hAnsi="方正仿宋_GBK" w:eastAsia="方正仿宋_GBK" w:cs="方正仿宋_GBK"/>
          <w:sz w:val="32"/>
          <w:szCs w:val="32"/>
          <w:lang w:eastAsia="zh-CN"/>
        </w:rPr>
        <w:t>存在一定的差距</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主要表现在：</w:t>
      </w:r>
      <w:r>
        <w:rPr>
          <w:rFonts w:hint="eastAsia" w:ascii="方正仿宋_GBK" w:hAnsi="宋体" w:eastAsia="方正仿宋_GBK" w:cs="宋体"/>
          <w:b/>
          <w:bCs/>
          <w:color w:val="000000" w:themeColor="text1"/>
          <w:kern w:val="0"/>
          <w:sz w:val="32"/>
          <w:szCs w:val="32"/>
          <w:lang w:eastAsia="zh-CN"/>
          <w14:textFill>
            <w14:solidFill>
              <w14:schemeClr w14:val="tx1"/>
            </w14:solidFill>
          </w14:textFill>
        </w:rPr>
        <w:t>一是</w:t>
      </w:r>
      <w:r>
        <w:rPr>
          <w:rFonts w:hint="eastAsia" w:ascii="方正仿宋_GBK" w:hAnsi="宋体" w:eastAsia="方正仿宋_GBK" w:cs="宋体"/>
          <w:color w:val="000000" w:themeColor="text1"/>
          <w:kern w:val="0"/>
          <w:sz w:val="32"/>
          <w:szCs w:val="32"/>
          <w:lang w:eastAsia="zh-CN"/>
          <w14:textFill>
            <w14:solidFill>
              <w14:schemeClr w14:val="tx1"/>
            </w14:solidFill>
          </w14:textFill>
        </w:rPr>
        <w:t>政务公开回应群众关切做的还不够到位，特别是推进精准扶贫精准脱贫、重大项目建设、民生方面的热点舆情回应还不能满足群众需求，政务公开的广度和深度还有待进一步拓展。</w:t>
      </w:r>
      <w:r>
        <w:rPr>
          <w:rFonts w:hint="eastAsia" w:ascii="方正仿宋_GBK" w:hAnsi="宋体" w:eastAsia="方正仿宋_GBK" w:cs="宋体"/>
          <w:b/>
          <w:bCs/>
          <w:color w:val="000000" w:themeColor="text1"/>
          <w:kern w:val="0"/>
          <w:sz w:val="32"/>
          <w:szCs w:val="32"/>
          <w:lang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在政务新媒体的监管运维方面还存在薄弱环节，对全市政务新媒体的检查监测形式还相对单一，监测整改时效性还有待提升。</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三是</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政务公开事项清单还没有实现全覆盖，与实现群众看得到、听得懂、</w:t>
      </w:r>
      <w:r>
        <w:rPr>
          <w:rFonts w:hint="eastAsia" w:ascii="方正仿宋_GBK" w:hAnsi="宋体" w:eastAsia="方正仿宋_GBK" w:cs="宋体"/>
          <w:color w:val="000000" w:themeColor="text1"/>
          <w:kern w:val="0"/>
          <w:sz w:val="32"/>
          <w:szCs w:val="32"/>
          <w:lang w:eastAsia="zh-CN"/>
          <w14:textFill>
            <w14:solidFill>
              <w14:schemeClr w14:val="tx1"/>
            </w14:solidFill>
          </w14:textFill>
        </w:rPr>
        <w:t>易获取、能监督、好参与要求仍有一定差距，</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还需进一步梳理细化，做到全面精准、分类科学。</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四是</w:t>
      </w:r>
      <w:r>
        <w:rPr>
          <w:rFonts w:hint="eastAsia" w:ascii="方正仿宋_GBK" w:hAnsi="宋体" w:eastAsia="方正仿宋_GBK" w:cs="宋体"/>
          <w:color w:val="000000" w:themeColor="text1"/>
          <w:kern w:val="0"/>
          <w:sz w:val="32"/>
          <w:szCs w:val="32"/>
          <w:lang w:eastAsia="zh-CN"/>
          <w14:textFill>
            <w14:solidFill>
              <w14:schemeClr w14:val="tx1"/>
            </w14:solidFill>
          </w14:textFill>
        </w:rPr>
        <w:t>随着群众获取信息要求不断提高，参与监督的渠道还需进一步拓宽，政民互动的形式还需进一步多元化，社会综合评价体系有待于进一步完善。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宋体" w:eastAsia="方正仿宋_GBK" w:cs="宋体"/>
          <w:color w:val="000000" w:themeColor="text1"/>
          <w:kern w:val="0"/>
          <w:sz w:val="32"/>
          <w:szCs w:val="32"/>
          <w:lang w:val="en-US" w:eastAsia="zh-CN"/>
          <w14:textFill>
            <w14:solidFill>
              <w14:schemeClr w14:val="tx1"/>
            </w14:solidFill>
          </w14:textFill>
        </w:rPr>
        <w:t>2020年，我市将严格按照上级安排部署，不断巩固提升</w:t>
      </w:r>
      <w:r>
        <w:rPr>
          <w:rFonts w:hint="eastAsia" w:ascii="方正仿宋_GBK" w:hAnsi="方正仿宋_GBK" w:eastAsia="方正仿宋_GBK" w:cs="方正仿宋_GBK"/>
          <w:kern w:val="0"/>
          <w:sz w:val="32"/>
          <w:szCs w:val="32"/>
          <w:lang w:val="en-US" w:eastAsia="zh-CN" w:bidi="ar-SA"/>
        </w:rPr>
        <w:t>试点工作成效，加大试点经验向其他领域推广力度，推进信息公开范围向全领域延伸。</w:t>
      </w:r>
      <w:r>
        <w:rPr>
          <w:rFonts w:hint="eastAsia" w:ascii="方正仿宋_GBK" w:hAnsi="宋体" w:eastAsia="方正仿宋_GBK" w:cs="宋体"/>
          <w:color w:val="000000" w:themeColor="text1"/>
          <w:kern w:val="0"/>
          <w:sz w:val="32"/>
          <w:szCs w:val="32"/>
          <w:lang w:val="en-US" w:eastAsia="zh-CN"/>
          <w14:textFill>
            <w14:solidFill>
              <w14:schemeClr w14:val="tx1"/>
            </w14:solidFill>
          </w14:textFill>
        </w:rPr>
        <w:t>全面推进“五公开”工作模式向重大建设项目实施、公共资源配置、社会公益事业建设等领域拓展，推行重点领域信息公开目</w:t>
      </w:r>
      <w:r>
        <w:rPr>
          <w:rFonts w:hint="eastAsia" w:ascii="方正仿宋_GBK" w:hAnsi="方正仿宋_GBK" w:eastAsia="方正仿宋_GBK" w:cs="方正仿宋_GBK"/>
          <w:kern w:val="0"/>
          <w:sz w:val="32"/>
          <w:szCs w:val="32"/>
          <w:lang w:val="en-US" w:eastAsia="zh-CN" w:bidi="ar-SA"/>
        </w:rPr>
        <w:t>录化、标准化、规范化。进一步完善政务公开负面清单、政府信息定向精准推送与查询、政务公开监督员、“政府开放日”常态化机制，切实提升公开质量与实效，助力“放管服”改革向纵深推进。同时，加大第三方服务机构检测、政务公开监督员、市委政府督查、纪委巡查工作力度，全面接受群众监督，着力推进</w:t>
      </w:r>
      <w:r>
        <w:rPr>
          <w:rFonts w:hint="eastAsia" w:ascii="方正仿宋_GBK" w:hAnsi="方正仿宋_GBK" w:eastAsia="方正仿宋_GBK" w:cs="方正仿宋_GBK"/>
          <w:kern w:val="0"/>
          <w:sz w:val="32"/>
          <w:szCs w:val="32"/>
          <w:lang w:val="en-US" w:eastAsia="zh-CN"/>
        </w:rPr>
        <w:t>政务公开</w:t>
      </w:r>
      <w:r>
        <w:rPr>
          <w:rFonts w:hint="eastAsia" w:ascii="方正仿宋_GBK" w:hAnsi="方正仿宋_GBK" w:eastAsia="方正仿宋_GBK" w:cs="方正仿宋_GBK"/>
          <w:kern w:val="0"/>
          <w:sz w:val="32"/>
          <w:szCs w:val="32"/>
          <w:lang w:eastAsia="zh-CN"/>
        </w:rPr>
        <w:t>由“粗”到“细”，从“内”到“外”，从“重点领域”到“全领域”发展，力促全市政务公开工作取得新成效，再上新台阶。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（一）青铜峡市人民政府门户网站为：www.qtx.gov.cn/，如需了解更多政府信息，请登录查询。</w:t>
      </w:r>
    </w:p>
    <w:p>
      <w:pPr>
        <w:pStyle w:val="2"/>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本报告所列政府信息公开数据统计期限为2019年1月1日至2019年12月31日。如对报告有疑问或意见建议，请直接与青铜峡市人民政府办公室联系（地址：青铜峡市裕民街道古峡东街51号，邮编：751600，电话：0953-3050582，传真：0953—3053031，电子邮箱：</w:t>
      </w:r>
      <w:r>
        <w:rPr>
          <w:rFonts w:hint="eastAsia" w:ascii="方正仿宋_GBK" w:hAnsi="方正仿宋_GBK" w:eastAsia="方正仿宋_GBK" w:cs="方正仿宋_GBK"/>
          <w:kern w:val="2"/>
          <w:sz w:val="32"/>
          <w:szCs w:val="32"/>
          <w:lang w:val="en-US" w:eastAsia="zh-CN" w:bidi="ar-SA"/>
        </w:rPr>
        <w:fldChar w:fldCharType="begin"/>
      </w:r>
      <w:r>
        <w:rPr>
          <w:rFonts w:hint="eastAsia" w:ascii="方正仿宋_GBK" w:hAnsi="方正仿宋_GBK" w:eastAsia="方正仿宋_GBK" w:cs="方正仿宋_GBK"/>
          <w:kern w:val="2"/>
          <w:sz w:val="32"/>
          <w:szCs w:val="32"/>
          <w:lang w:val="en-US" w:eastAsia="zh-CN" w:bidi="ar-SA"/>
        </w:rPr>
        <w:instrText xml:space="preserve"> HYPERLINK "mailto:qtxszfbgs@163.com）。" </w:instrText>
      </w:r>
      <w:r>
        <w:rPr>
          <w:rFonts w:hint="eastAsia" w:ascii="方正仿宋_GBK" w:hAnsi="方正仿宋_GBK" w:eastAsia="方正仿宋_GBK" w:cs="方正仿宋_GBK"/>
          <w:kern w:val="2"/>
          <w:sz w:val="32"/>
          <w:szCs w:val="32"/>
          <w:lang w:val="en-US" w:eastAsia="zh-CN" w:bidi="ar-SA"/>
        </w:rPr>
        <w:fldChar w:fldCharType="separate"/>
      </w:r>
      <w:r>
        <w:rPr>
          <w:rFonts w:hint="eastAsia" w:ascii="方正仿宋_GBK" w:hAnsi="方正仿宋_GBK" w:eastAsia="方正仿宋_GBK" w:cs="方正仿宋_GBK"/>
          <w:kern w:val="2"/>
          <w:sz w:val="32"/>
          <w:szCs w:val="32"/>
          <w:lang w:val="en-US" w:eastAsia="zh-CN" w:bidi="ar-SA"/>
        </w:rPr>
        <w:t>qtxszfbgs@163.com）。</w:t>
      </w:r>
      <w:r>
        <w:rPr>
          <w:rFonts w:hint="eastAsia" w:ascii="方正仿宋_GBK" w:hAnsi="方正仿宋_GBK" w:eastAsia="方正仿宋_GBK" w:cs="方正仿宋_GBK"/>
          <w:kern w:val="2"/>
          <w:sz w:val="32"/>
          <w:szCs w:val="32"/>
          <w:lang w:val="en-US" w:eastAsia="zh-CN" w:bidi="ar-SA"/>
        </w:rPr>
        <w:fldChar w:fldCharType="end"/>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8726C7-8544-4936-8D72-DCE479BDE9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embedRegular r:id="rId2" w:fontKey="{0C47C019-45ED-499E-AFD9-B077762CCBAF}"/>
  </w:font>
  <w:font w:name="方正小标宋_GBK">
    <w:panose1 w:val="02000000000000000000"/>
    <w:charset w:val="86"/>
    <w:family w:val="auto"/>
    <w:pitch w:val="default"/>
    <w:sig w:usb0="00000001" w:usb1="080E0000" w:usb2="00000000" w:usb3="00000000" w:csb0="00040000" w:csb1="00000000"/>
    <w:embedRegular r:id="rId3" w:fontKey="{1391EA68-070F-47E0-8B4B-EBE7922D80CE}"/>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E0000" w:usb2="00000000" w:usb3="00000000" w:csb0="00040000" w:csb1="00000000"/>
    <w:embedRegular r:id="rId4" w:fontKey="{E69B1901-E56A-4483-8A0B-FCF8B5101EAE}"/>
  </w:font>
  <w:font w:name="方正黑体_GBK">
    <w:panose1 w:val="03000509000000000000"/>
    <w:charset w:val="86"/>
    <w:family w:val="auto"/>
    <w:pitch w:val="default"/>
    <w:sig w:usb0="00000001" w:usb1="080E0000" w:usb2="00000000" w:usb3="00000000" w:csb0="00040000" w:csb1="00000000"/>
    <w:embedRegular r:id="rId5" w:fontKey="{E5A3DC2F-94CB-4A3D-908E-21AD2BBDF7C2}"/>
  </w:font>
  <w:font w:name="仿宋_GB2312">
    <w:altName w:val="仿宋"/>
    <w:panose1 w:val="02010609030101010101"/>
    <w:charset w:val="86"/>
    <w:family w:val="auto"/>
    <w:pitch w:val="default"/>
    <w:sig w:usb0="00000000" w:usb1="00000000" w:usb2="00000000" w:usb3="00000000" w:csb0="00040000" w:csb1="00000000"/>
    <w:embedRegular r:id="rId6" w:fontKey="{F8F56B2F-A21A-4C94-AD4F-44178A33BE26}"/>
  </w:font>
  <w:font w:name="仿宋">
    <w:panose1 w:val="02010609060101010101"/>
    <w:charset w:val="86"/>
    <w:family w:val="auto"/>
    <w:pitch w:val="default"/>
    <w:sig w:usb0="800002BF" w:usb1="38CF7CFA" w:usb2="00000016" w:usb3="00000000" w:csb0="00040001" w:csb1="00000000"/>
  </w:font>
  <w:font w:name="方正隶书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reeDEngrave" w:color="00CCFF" w:sz="18" w:space="1"/>
      </w:pBdr>
    </w:pPr>
    <w:r>
      <w:drawing>
        <wp:inline distT="0" distB="0" distL="114300" distR="114300">
          <wp:extent cx="1991995" cy="318770"/>
          <wp:effectExtent l="0" t="0" r="8255" b="5080"/>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1"/>
                  <a:stretch>
                    <a:fillRect/>
                  </a:stretch>
                </pic:blipFill>
                <pic:spPr>
                  <a:xfrm>
                    <a:off x="0" y="0"/>
                    <a:ext cx="1991995" cy="318770"/>
                  </a:xfrm>
                  <a:prstGeom prst="rect">
                    <a:avLst/>
                  </a:prstGeom>
                  <a:noFill/>
                  <a:ln w="9525">
                    <a:noFill/>
                  </a:ln>
                </pic:spPr>
              </pic:pic>
            </a:graphicData>
          </a:graphic>
        </wp:inline>
      </w:drawing>
    </w:r>
    <w:r>
      <w:rPr>
        <w:rFonts w:hint="eastAsia"/>
        <w:lang w:val="en-US" w:eastAsia="zh-CN"/>
      </w:rPr>
      <w:t xml:space="preserve">              </w:t>
    </w:r>
    <w:r>
      <w:rPr>
        <w:rFonts w:hint="eastAsia"/>
        <w:color w:val="FF0000"/>
        <w:lang w:val="en-US" w:eastAsia="zh-CN"/>
      </w:rPr>
      <w:t xml:space="preserve"> </w:t>
    </w:r>
    <w:r>
      <w:rPr>
        <w:rFonts w:hint="eastAsia" w:ascii="方正隶书_GBK" w:hAnsi="方正隶书_GBK" w:eastAsia="方正隶书_GBK" w:cs="方正隶书_GBK"/>
        <w:b w:val="0"/>
        <w:bCs w:val="0"/>
        <w:color w:val="FF0000"/>
        <w:spacing w:val="6"/>
        <w:sz w:val="24"/>
        <w:szCs w:val="40"/>
        <w:lang w:val="en-US" w:eastAsia="zh-CN"/>
      </w:rPr>
      <w:t>2019年</w:t>
    </w:r>
    <w:r>
      <w:rPr>
        <w:rFonts w:hint="eastAsia" w:ascii="方正隶书_GBK" w:hAnsi="方正隶书_GBK" w:eastAsia="方正隶书_GBK" w:cs="方正隶书_GBK"/>
        <w:b w:val="0"/>
        <w:bCs w:val="0"/>
        <w:color w:val="000000" w:themeColor="text1"/>
        <w:spacing w:val="6"/>
        <w:sz w:val="24"/>
        <w:szCs w:val="40"/>
        <w:lang w:val="en-US" w:eastAsia="zh-CN"/>
        <w14:textFill>
          <w14:solidFill>
            <w14:schemeClr w14:val="tx1"/>
          </w14:solidFill>
        </w14:textFill>
      </w:rPr>
      <w:t>政府信息公开工作年度报告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80042"/>
    <w:multiLevelType w:val="singleLevel"/>
    <w:tmpl w:val="5E28004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4A57"/>
    <w:rsid w:val="02614A5E"/>
    <w:rsid w:val="04D07A32"/>
    <w:rsid w:val="069E26B0"/>
    <w:rsid w:val="0D74497D"/>
    <w:rsid w:val="0DEB509F"/>
    <w:rsid w:val="111E1C43"/>
    <w:rsid w:val="11FA0E6F"/>
    <w:rsid w:val="138A7ED2"/>
    <w:rsid w:val="16311827"/>
    <w:rsid w:val="1A8574F6"/>
    <w:rsid w:val="1AFB1242"/>
    <w:rsid w:val="1DDE3CF2"/>
    <w:rsid w:val="28717155"/>
    <w:rsid w:val="2BDE6705"/>
    <w:rsid w:val="2C843EE3"/>
    <w:rsid w:val="2DFB05FE"/>
    <w:rsid w:val="31651AA3"/>
    <w:rsid w:val="32290A7F"/>
    <w:rsid w:val="326C4989"/>
    <w:rsid w:val="32E04A41"/>
    <w:rsid w:val="3A993619"/>
    <w:rsid w:val="3ABF4A57"/>
    <w:rsid w:val="3EB55BA4"/>
    <w:rsid w:val="3FFB1B0F"/>
    <w:rsid w:val="4345621E"/>
    <w:rsid w:val="491D5FB9"/>
    <w:rsid w:val="492437C7"/>
    <w:rsid w:val="49BE635A"/>
    <w:rsid w:val="50EC589A"/>
    <w:rsid w:val="54F450A2"/>
    <w:rsid w:val="5E714D90"/>
    <w:rsid w:val="6149188E"/>
    <w:rsid w:val="6666263B"/>
    <w:rsid w:val="6A6A64BB"/>
    <w:rsid w:val="6D776356"/>
    <w:rsid w:val="71B57E3A"/>
    <w:rsid w:val="7CD0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line="560" w:lineRule="exact"/>
      <w:jc w:val="left"/>
      <w:outlineLvl w:val="1"/>
    </w:pPr>
    <w:rPr>
      <w:rFonts w:hint="eastAsia" w:ascii="宋体" w:hAnsi="宋体" w:eastAsia="方正楷体_GBK" w:cs="宋体"/>
      <w:b/>
      <w:kern w:val="0"/>
      <w:sz w:val="32"/>
      <w:szCs w:val="36"/>
      <w:lang w:bidi="ar"/>
    </w:rPr>
  </w:style>
  <w:style w:type="paragraph" w:styleId="4">
    <w:name w:val="heading 3"/>
    <w:basedOn w:val="1"/>
    <w:next w:val="1"/>
    <w:unhideWhenUsed/>
    <w:qFormat/>
    <w:uiPriority w:val="0"/>
    <w:pPr>
      <w:keepNext/>
      <w:keepLines/>
      <w:spacing w:before="260" w:beforeLines="0" w:beforeAutospacing="0" w:after="260" w:afterLines="0" w:afterAutospacing="0" w:line="560" w:lineRule="exact"/>
      <w:outlineLvl w:val="2"/>
    </w:pPr>
    <w:rPr>
      <w:rFonts w:eastAsia="方正小标宋_GBK" w:asciiTheme="minorAscii" w:hAnsiTheme="minorAscii"/>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eastAsia="宋体"/>
      <w:kern w:val="2"/>
      <w:sz w:val="32"/>
      <w:szCs w:val="24"/>
      <w:lang w:val="en-US" w:eastAsia="zh-CN" w:bidi="ar-SA"/>
    </w:r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列出段落1"/>
    <w:basedOn w:val="1"/>
    <w:qFormat/>
    <w:uiPriority w:val="0"/>
    <w:pPr>
      <w:widowControl/>
      <w:adjustRightInd w:val="0"/>
      <w:snapToGrid w:val="0"/>
      <w:spacing w:before="100" w:beforeAutospacing="1" w:after="200" w:line="240" w:lineRule="auto"/>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青铜峡市政府办公室</Company>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2019-02-13T08:01:00Z</dcterms:created>
  <dc:creator>Administrator</dc:creator>
  <cp:lastModifiedBy>seren</cp:lastModifiedBy>
  <cp:lastPrinted>2020-01-23T08:41:00Z</cp:lastPrinted>
  <dcterms:modified xsi:type="dcterms:W3CDTF">2021-11-30T08:20:00Z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A3842BA0BB7441849C0AE424E3E81F10</vt:lpwstr>
  </property>
</Properties>
</file>