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left"/>
        <w:outlineLvl w:val="1"/>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附件2：</w:t>
      </w:r>
    </w:p>
    <w:p>
      <w:pPr>
        <w:widowControl/>
        <w:spacing w:before="100" w:beforeAutospacing="1" w:after="100" w:afterAutospacing="1"/>
        <w:jc w:val="center"/>
        <w:outlineLvl w:val="1"/>
        <w:rPr>
          <w:rFonts w:ascii="宋体" w:hAnsi="宋体"/>
          <w:b/>
          <w:color w:val="000000"/>
          <w:kern w:val="0"/>
          <w:sz w:val="44"/>
          <w:szCs w:val="44"/>
        </w:rPr>
      </w:pPr>
    </w:p>
    <w:p>
      <w:pPr>
        <w:widowControl/>
        <w:spacing w:before="100" w:beforeAutospacing="1" w:after="100" w:afterAutospacing="1"/>
        <w:jc w:val="center"/>
        <w:outlineLvl w:val="1"/>
        <w:rPr>
          <w:rFonts w:ascii="宋体" w:hAnsi="宋体"/>
          <w:b/>
          <w:color w:val="000000"/>
          <w:kern w:val="0"/>
          <w:sz w:val="44"/>
          <w:szCs w:val="44"/>
        </w:rPr>
      </w:pPr>
    </w:p>
    <w:p>
      <w:pPr>
        <w:widowControl/>
        <w:spacing w:before="100" w:beforeAutospacing="1" w:after="100" w:afterAutospacing="1"/>
        <w:jc w:val="center"/>
        <w:outlineLvl w:val="1"/>
        <w:rPr>
          <w:rFonts w:ascii="宋体" w:hAnsi="宋体"/>
          <w:b/>
          <w:color w:val="000000"/>
          <w:kern w:val="0"/>
          <w:sz w:val="44"/>
          <w:szCs w:val="44"/>
        </w:rPr>
      </w:pPr>
    </w:p>
    <w:p>
      <w:pPr>
        <w:widowControl/>
        <w:spacing w:before="100" w:beforeAutospacing="1" w:after="100" w:afterAutospacing="1"/>
        <w:jc w:val="center"/>
        <w:outlineLvl w:val="1"/>
        <w:rPr>
          <w:rFonts w:ascii="宋体" w:hAnsi="宋体"/>
          <w:b/>
          <w:color w:val="000000"/>
          <w:kern w:val="0"/>
          <w:sz w:val="44"/>
          <w:szCs w:val="44"/>
        </w:rPr>
      </w:pPr>
      <w:r>
        <w:rPr>
          <w:rFonts w:hint="eastAsia" w:ascii="宋体" w:hAnsi="宋体"/>
          <w:b/>
          <w:color w:val="000000"/>
          <w:kern w:val="0"/>
          <w:sz w:val="44"/>
          <w:szCs w:val="44"/>
        </w:rPr>
        <w:t>吴忠市生态环境局2021年部门预算</w:t>
      </w:r>
    </w:p>
    <w:p>
      <w:pPr>
        <w:widowControl/>
        <w:spacing w:before="100" w:beforeAutospacing="1" w:after="100" w:afterAutospacing="1"/>
        <w:jc w:val="center"/>
        <w:outlineLvl w:val="1"/>
        <w:rPr>
          <w:rFonts w:ascii="宋体" w:hAnsi="宋体"/>
          <w:b/>
          <w:color w:val="000000"/>
          <w:kern w:val="0"/>
          <w:sz w:val="44"/>
          <w:szCs w:val="44"/>
        </w:rPr>
      </w:pPr>
      <w:r>
        <w:rPr>
          <w:rFonts w:hint="eastAsia" w:ascii="宋体" w:hAnsi="宋体"/>
          <w:b/>
          <w:color w:val="000000"/>
          <w:kern w:val="0"/>
          <w:sz w:val="44"/>
          <w:szCs w:val="44"/>
        </w:rPr>
        <w:t>（汇总）</w:t>
      </w:r>
    </w:p>
    <w:p>
      <w:pPr>
        <w:widowControl/>
        <w:spacing w:before="100" w:beforeAutospacing="1" w:after="100" w:afterAutospacing="1"/>
        <w:jc w:val="center"/>
        <w:outlineLvl w:val="1"/>
        <w:rPr>
          <w:rFonts w:ascii="宋体" w:hAnsi="宋体"/>
          <w:b/>
          <w:color w:val="000000"/>
          <w:kern w:val="0"/>
          <w:sz w:val="44"/>
          <w:szCs w:val="44"/>
        </w:rPr>
      </w:pPr>
    </w:p>
    <w:p>
      <w:pPr>
        <w:widowControl/>
        <w:spacing w:before="100" w:beforeAutospacing="1" w:after="100" w:afterAutospacing="1"/>
        <w:jc w:val="center"/>
        <w:outlineLvl w:val="1"/>
        <w:rPr>
          <w:rFonts w:ascii="宋体" w:hAnsi="宋体"/>
          <w:b/>
          <w:color w:val="000000"/>
          <w:kern w:val="0"/>
          <w:sz w:val="44"/>
          <w:szCs w:val="44"/>
        </w:rPr>
      </w:pPr>
    </w:p>
    <w:p>
      <w:pPr>
        <w:widowControl/>
        <w:spacing w:before="100" w:beforeAutospacing="1" w:after="100" w:afterAutospacing="1"/>
        <w:jc w:val="center"/>
        <w:outlineLvl w:val="1"/>
        <w:rPr>
          <w:rFonts w:ascii="宋体" w:hAnsi="宋体"/>
          <w:b/>
          <w:color w:val="000000"/>
          <w:kern w:val="0"/>
          <w:sz w:val="44"/>
          <w:szCs w:val="44"/>
        </w:rPr>
      </w:pPr>
    </w:p>
    <w:p>
      <w:pPr>
        <w:widowControl/>
        <w:spacing w:before="100" w:beforeAutospacing="1" w:after="100" w:afterAutospacing="1"/>
        <w:jc w:val="center"/>
        <w:outlineLvl w:val="1"/>
        <w:rPr>
          <w:rFonts w:ascii="宋体" w:hAnsi="宋体"/>
          <w:b/>
          <w:color w:val="000000"/>
          <w:kern w:val="0"/>
          <w:sz w:val="44"/>
          <w:szCs w:val="44"/>
        </w:rPr>
      </w:pPr>
    </w:p>
    <w:p>
      <w:pPr>
        <w:widowControl/>
        <w:spacing w:before="100" w:beforeAutospacing="1" w:after="100" w:afterAutospacing="1"/>
        <w:jc w:val="center"/>
        <w:outlineLvl w:val="1"/>
        <w:rPr>
          <w:rFonts w:ascii="宋体" w:hAnsi="宋体"/>
          <w:b/>
          <w:color w:val="000000"/>
          <w:kern w:val="0"/>
          <w:sz w:val="44"/>
          <w:szCs w:val="44"/>
        </w:rPr>
      </w:pPr>
    </w:p>
    <w:p>
      <w:pPr>
        <w:widowControl/>
        <w:spacing w:before="100" w:beforeAutospacing="1" w:after="100" w:afterAutospacing="1"/>
        <w:jc w:val="center"/>
        <w:outlineLvl w:val="1"/>
        <w:rPr>
          <w:rFonts w:ascii="宋体" w:hAnsi="宋体"/>
          <w:b/>
          <w:color w:val="000000"/>
          <w:kern w:val="0"/>
          <w:sz w:val="44"/>
          <w:szCs w:val="44"/>
        </w:rPr>
      </w:pPr>
    </w:p>
    <w:p>
      <w:pPr>
        <w:widowControl/>
        <w:spacing w:before="100" w:beforeAutospacing="1" w:after="100" w:afterAutospacing="1"/>
        <w:jc w:val="center"/>
        <w:outlineLvl w:val="1"/>
        <w:rPr>
          <w:rFonts w:ascii="宋体" w:hAnsi="宋体"/>
          <w:b/>
          <w:color w:val="000000"/>
          <w:kern w:val="0"/>
          <w:sz w:val="44"/>
          <w:szCs w:val="44"/>
        </w:rPr>
      </w:pPr>
    </w:p>
    <w:p>
      <w:pPr>
        <w:widowControl/>
        <w:spacing w:before="100" w:beforeAutospacing="1" w:after="100" w:afterAutospacing="1"/>
        <w:jc w:val="center"/>
        <w:outlineLvl w:val="1"/>
        <w:rPr>
          <w:rFonts w:ascii="宋体" w:hAnsi="宋体"/>
          <w:b/>
          <w:color w:val="000000"/>
          <w:kern w:val="0"/>
          <w:sz w:val="44"/>
          <w:szCs w:val="44"/>
        </w:rPr>
      </w:pPr>
    </w:p>
    <w:p>
      <w:pPr>
        <w:widowControl/>
        <w:spacing w:before="100" w:beforeAutospacing="1" w:after="100" w:afterAutospacing="1"/>
        <w:jc w:val="center"/>
        <w:outlineLvl w:val="1"/>
        <w:rPr>
          <w:rFonts w:ascii="宋体" w:hAnsi="宋体"/>
          <w:b/>
          <w:color w:val="000000"/>
          <w:kern w:val="0"/>
          <w:sz w:val="44"/>
          <w:szCs w:val="44"/>
        </w:rPr>
      </w:pPr>
    </w:p>
    <w:p>
      <w:pPr>
        <w:widowControl/>
        <w:jc w:val="center"/>
        <w:outlineLvl w:val="1"/>
        <w:rPr>
          <w:rFonts w:ascii="宋体" w:hAnsi="宋体"/>
          <w:b/>
          <w:color w:val="000000"/>
          <w:kern w:val="0"/>
          <w:sz w:val="44"/>
          <w:szCs w:val="44"/>
        </w:rPr>
        <w:sectPr>
          <w:pgSz w:w="11906" w:h="16838"/>
          <w:pgMar w:top="2155" w:right="1418" w:bottom="1418" w:left="1418" w:header="851" w:footer="992" w:gutter="0"/>
          <w:cols w:space="720" w:num="1"/>
          <w:docGrid w:type="lines" w:linePitch="312" w:charSpace="0"/>
        </w:sectPr>
      </w:pPr>
    </w:p>
    <w:p>
      <w:pPr>
        <w:widowControl/>
        <w:jc w:val="center"/>
        <w:outlineLvl w:val="1"/>
        <w:rPr>
          <w:rFonts w:ascii="宋体" w:hAnsi="宋体"/>
          <w:b/>
          <w:color w:val="000000"/>
          <w:kern w:val="0"/>
          <w:sz w:val="44"/>
          <w:szCs w:val="44"/>
        </w:rPr>
      </w:pPr>
      <w:r>
        <w:rPr>
          <w:rFonts w:hint="eastAsia" w:ascii="宋体" w:hAnsi="宋体"/>
          <w:b/>
          <w:color w:val="000000"/>
          <w:kern w:val="0"/>
          <w:sz w:val="44"/>
          <w:szCs w:val="44"/>
        </w:rPr>
        <w:t>目录</w:t>
      </w:r>
    </w:p>
    <w:p>
      <w:pPr>
        <w:widowControl/>
        <w:jc w:val="center"/>
        <w:outlineLvl w:val="1"/>
        <w:rPr>
          <w:rFonts w:ascii="宋体" w:hAnsi="宋体"/>
          <w:b/>
          <w:color w:val="000000"/>
          <w:kern w:val="0"/>
          <w:sz w:val="44"/>
          <w:szCs w:val="44"/>
        </w:rPr>
      </w:pPr>
    </w:p>
    <w:p>
      <w:pPr>
        <w:widowControl/>
        <w:ind w:firstLine="643" w:firstLineChars="200"/>
        <w:outlineLvl w:val="1"/>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第一部分  单位概况</w:t>
      </w:r>
    </w:p>
    <w:p>
      <w:pPr>
        <w:widowControl/>
        <w:ind w:firstLine="640" w:firstLineChars="200"/>
        <w:outlineLvl w:val="1"/>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一、主要职能</w:t>
      </w:r>
    </w:p>
    <w:p>
      <w:pPr>
        <w:widowControl/>
        <w:ind w:firstLine="640" w:firstLineChars="200"/>
        <w:outlineLvl w:val="1"/>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二、部门预算单位构成</w:t>
      </w:r>
    </w:p>
    <w:p>
      <w:pPr>
        <w:widowControl/>
        <w:spacing w:beforeLines="50"/>
        <w:ind w:firstLine="643" w:firstLineChars="200"/>
        <w:outlineLvl w:val="1"/>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第二部分  2021年部门预算表</w:t>
      </w:r>
    </w:p>
    <w:p>
      <w:pPr>
        <w:widowControl/>
        <w:ind w:firstLine="640" w:firstLineChars="200"/>
        <w:outlineLvl w:val="1"/>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一、财政拨款收支总表</w:t>
      </w:r>
    </w:p>
    <w:p>
      <w:pPr>
        <w:widowControl/>
        <w:ind w:firstLine="640" w:firstLineChars="200"/>
        <w:outlineLvl w:val="1"/>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二、一般公共预算支出表</w:t>
      </w:r>
    </w:p>
    <w:p>
      <w:pPr>
        <w:widowControl/>
        <w:ind w:firstLine="640" w:firstLineChars="200"/>
        <w:outlineLvl w:val="1"/>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三、一般公共预算基本支出表</w:t>
      </w:r>
    </w:p>
    <w:p>
      <w:pPr>
        <w:widowControl/>
        <w:ind w:firstLine="640" w:firstLineChars="200"/>
        <w:outlineLvl w:val="1"/>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四、一般公共预算“三公”经费支出表、</w:t>
      </w:r>
    </w:p>
    <w:p>
      <w:pPr>
        <w:widowControl/>
        <w:ind w:firstLine="640" w:firstLineChars="200"/>
        <w:outlineLvl w:val="1"/>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五、政府性基金预算支出表</w:t>
      </w:r>
    </w:p>
    <w:p>
      <w:pPr>
        <w:widowControl/>
        <w:ind w:firstLine="640" w:firstLineChars="200"/>
        <w:outlineLvl w:val="1"/>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六、部门收支总表</w:t>
      </w:r>
    </w:p>
    <w:p>
      <w:pPr>
        <w:widowControl/>
        <w:ind w:firstLine="640" w:firstLineChars="200"/>
        <w:outlineLvl w:val="1"/>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七、部门收入总表</w:t>
      </w:r>
    </w:p>
    <w:p>
      <w:pPr>
        <w:widowControl/>
        <w:ind w:firstLine="640" w:firstLineChars="200"/>
        <w:outlineLvl w:val="1"/>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八、部门支出总表</w:t>
      </w:r>
    </w:p>
    <w:p>
      <w:pPr>
        <w:widowControl/>
        <w:spacing w:beforeLines="50"/>
        <w:ind w:firstLine="643" w:firstLineChars="200"/>
        <w:outlineLvl w:val="1"/>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第三部分  2021年部门预算情况说明</w:t>
      </w:r>
    </w:p>
    <w:p>
      <w:pPr>
        <w:widowControl/>
        <w:spacing w:beforeLines="50"/>
        <w:ind w:firstLine="643" w:firstLineChars="200"/>
        <w:outlineLvl w:val="1"/>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第四部分  名词解释</w:t>
      </w:r>
    </w:p>
    <w:p>
      <w:pPr>
        <w:widowControl/>
        <w:spacing w:beforeLines="50"/>
        <w:ind w:firstLine="643" w:firstLineChars="200"/>
        <w:outlineLvl w:val="1"/>
        <w:rPr>
          <w:rFonts w:ascii="仿宋_GB2312" w:hAnsi="宋体" w:eastAsia="仿宋_GB2312"/>
          <w:b/>
          <w:color w:val="000000"/>
          <w:kern w:val="0"/>
          <w:sz w:val="32"/>
          <w:szCs w:val="32"/>
        </w:rPr>
      </w:pPr>
      <w:r>
        <w:rPr>
          <w:rFonts w:hint="eastAsia" w:ascii="仿宋_GB2312" w:hAnsi="宋体" w:eastAsia="仿宋_GB2312"/>
          <w:b/>
          <w:color w:val="000000"/>
          <w:kern w:val="0"/>
          <w:sz w:val="32"/>
          <w:szCs w:val="32"/>
        </w:rPr>
        <w:t>第五部分  2021年部门项目支出预算绩效目标表</w:t>
      </w:r>
    </w:p>
    <w:p>
      <w:pPr>
        <w:widowControl/>
        <w:spacing w:beforeLines="50"/>
        <w:ind w:firstLine="643" w:firstLineChars="200"/>
        <w:outlineLvl w:val="1"/>
        <w:rPr>
          <w:rFonts w:ascii="仿宋_GB2312" w:hAnsi="宋体" w:eastAsia="仿宋_GB2312"/>
          <w:b/>
          <w:color w:val="000000"/>
          <w:kern w:val="0"/>
          <w:sz w:val="32"/>
          <w:szCs w:val="32"/>
        </w:rPr>
      </w:pPr>
    </w:p>
    <w:p>
      <w:pPr>
        <w:widowControl/>
        <w:outlineLvl w:val="1"/>
        <w:rPr>
          <w:rFonts w:ascii="仿宋_GB2312" w:hAnsi="宋体" w:eastAsia="仿宋_GB2312"/>
          <w:b/>
          <w:color w:val="000000"/>
          <w:kern w:val="0"/>
          <w:sz w:val="32"/>
          <w:szCs w:val="32"/>
        </w:rPr>
      </w:pPr>
    </w:p>
    <w:p>
      <w:pPr>
        <w:widowControl/>
        <w:outlineLvl w:val="1"/>
        <w:rPr>
          <w:rFonts w:ascii="仿宋_GB2312" w:hAnsi="宋体" w:eastAsia="仿宋_GB2312"/>
          <w:b/>
          <w:color w:val="000000"/>
          <w:kern w:val="0"/>
          <w:sz w:val="32"/>
          <w:szCs w:val="32"/>
        </w:rPr>
      </w:pPr>
    </w:p>
    <w:p>
      <w:pPr>
        <w:widowControl/>
        <w:jc w:val="center"/>
        <w:outlineLvl w:val="1"/>
        <w:rPr>
          <w:rFonts w:ascii="仿宋_GB2312" w:hAnsi="宋体" w:eastAsia="仿宋_GB2312"/>
          <w:b/>
          <w:color w:val="000000"/>
          <w:kern w:val="0"/>
          <w:sz w:val="36"/>
          <w:szCs w:val="36"/>
        </w:rPr>
      </w:pPr>
      <w:r>
        <w:rPr>
          <w:rFonts w:hint="eastAsia" w:ascii="仿宋_GB2312" w:hAnsi="宋体" w:eastAsia="仿宋_GB2312"/>
          <w:b/>
          <w:color w:val="000000"/>
          <w:kern w:val="0"/>
          <w:sz w:val="36"/>
          <w:szCs w:val="36"/>
        </w:rPr>
        <w:t>吴忠市生态环境局（汇总）2021年部门预算——单位概况</w:t>
      </w:r>
    </w:p>
    <w:p>
      <w:pPr>
        <w:widowControl/>
        <w:jc w:val="center"/>
        <w:outlineLvl w:val="1"/>
        <w:rPr>
          <w:rFonts w:ascii="宋体" w:hAnsi="宋体"/>
          <w:b/>
          <w:color w:val="000000"/>
          <w:kern w:val="0"/>
          <w:sz w:val="32"/>
          <w:szCs w:val="32"/>
        </w:rPr>
      </w:pPr>
    </w:p>
    <w:p>
      <w:pPr>
        <w:ind w:firstLine="640" w:firstLineChars="200"/>
        <w:rPr>
          <w:rFonts w:ascii="仿宋_GB2312" w:hAnsi="仿宋" w:eastAsia="仿宋_GB2312"/>
          <w:sz w:val="32"/>
          <w:szCs w:val="32"/>
        </w:rPr>
      </w:pPr>
      <w:r>
        <w:rPr>
          <w:rFonts w:hint="eastAsia" w:ascii="仿宋_GB2312" w:hAnsi="宋体" w:eastAsia="仿宋_GB2312" w:cs="宋体"/>
          <w:color w:val="000000"/>
          <w:kern w:val="0"/>
          <w:sz w:val="32"/>
          <w:szCs w:val="32"/>
        </w:rPr>
        <w:t>　</w:t>
      </w:r>
      <w:r>
        <w:rPr>
          <w:rFonts w:hint="eastAsia" w:ascii="仿宋_GB2312" w:hAnsi="仿宋" w:eastAsia="仿宋_GB2312"/>
          <w:b/>
          <w:sz w:val="32"/>
          <w:szCs w:val="32"/>
        </w:rPr>
        <w:t>（一）、吴忠市生态环境局本级</w:t>
      </w:r>
      <w:r>
        <w:rPr>
          <w:rFonts w:hint="eastAsia" w:ascii="仿宋_GB2312" w:hAnsi="仿宋" w:eastAsia="仿宋_GB2312"/>
          <w:sz w:val="32"/>
          <w:szCs w:val="32"/>
        </w:rPr>
        <w:t>：根据中共吴忠市委办公室《关于印发吴忠市政府办公室等26个政府工作部门职能配置，内设机构和人员编制规定的通知》（吴党办发[2019]34号）文件，具体工作职责如下，具体工作职责如下：</w:t>
      </w:r>
    </w:p>
    <w:p>
      <w:pPr>
        <w:ind w:left="160" w:leftChars="76" w:firstLine="480" w:firstLineChars="150"/>
        <w:rPr>
          <w:rFonts w:ascii="仿宋_GB2312" w:hAnsi="仿宋" w:eastAsia="仿宋_GB2312"/>
          <w:sz w:val="32"/>
          <w:szCs w:val="32"/>
        </w:rPr>
      </w:pPr>
      <w:r>
        <w:rPr>
          <w:rFonts w:hint="eastAsia" w:ascii="仿宋_GB2312" w:hAnsi="仿宋" w:eastAsia="仿宋_GB2312"/>
          <w:sz w:val="32"/>
          <w:szCs w:val="32"/>
        </w:rPr>
        <w:t>1、负责落实国家生态环境基本制度，建立健全市级生态环境制度。会同有关部门（单位）拟订全市生态环境政策、规划并组织实施，起草地方性法规、政府规章草案。会同有关部门（单位）拟定并监督实施生态环境功能区划。</w:t>
      </w:r>
    </w:p>
    <w:p>
      <w:pPr>
        <w:ind w:firstLine="640" w:firstLineChars="200"/>
        <w:rPr>
          <w:rFonts w:ascii="仿宋_GB2312" w:hAnsi="仿宋" w:eastAsia="仿宋_GB2312"/>
          <w:sz w:val="32"/>
          <w:szCs w:val="32"/>
        </w:rPr>
      </w:pPr>
      <w:r>
        <w:rPr>
          <w:rFonts w:hint="eastAsia" w:ascii="仿宋_GB2312" w:hAnsi="仿宋" w:eastAsia="仿宋_GB2312"/>
          <w:sz w:val="32"/>
          <w:szCs w:val="32"/>
        </w:rPr>
        <w:t>2、负责全市生态环境问题的统筹协调和监督管理。组织协调环境污染事故和生态破坏事件的调查处理，指导协调县（市、区）及太阳山开发区对突发生态环境事件的应急、预警工作，牵头指导实施生态环境损害赔偿制度，协调解决全市有关跨区域环境污染纠纷，统筹协调重点区域、流域生态环境保护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3、组织开展全市生态环境保护督察。建立健全生态环境保护督察制度，组织协调生态环境保护督察工作，根据授权对各县（市、区）及有关部门（单位）贯彻落实中央、自治区和市委生态环境保护决策部署情况进行督察。</w:t>
      </w:r>
    </w:p>
    <w:p>
      <w:pPr>
        <w:ind w:firstLine="480" w:firstLineChars="150"/>
        <w:rPr>
          <w:rFonts w:ascii="仿宋_GB2312" w:hAnsi="仿宋" w:eastAsia="仿宋_GB2312"/>
          <w:sz w:val="32"/>
          <w:szCs w:val="32"/>
        </w:rPr>
      </w:pPr>
      <w:r>
        <w:rPr>
          <w:rFonts w:hint="eastAsia" w:ascii="仿宋_GB2312" w:hAnsi="仿宋" w:eastAsia="仿宋_GB2312"/>
          <w:sz w:val="32"/>
          <w:szCs w:val="32"/>
        </w:rPr>
        <w:t>4、组织指导和协调全市生态环境宣传教育工作，推动社会组织和公众参与生态环境保护。开展生态环境科技工作，组织实施生态环境有关科研项目和技术工程示范，推动生态环境技术管理体系建设。</w:t>
      </w:r>
    </w:p>
    <w:p>
      <w:pPr>
        <w:ind w:firstLine="640" w:firstLineChars="200"/>
        <w:rPr>
          <w:rFonts w:ascii="仿宋_GB2312" w:hAnsi="仿宋" w:eastAsia="仿宋_GB2312"/>
          <w:sz w:val="32"/>
          <w:szCs w:val="32"/>
        </w:rPr>
      </w:pPr>
      <w:r>
        <w:rPr>
          <w:rFonts w:hint="eastAsia" w:ascii="仿宋_GB2312" w:hAnsi="仿宋" w:eastAsia="仿宋_GB2312"/>
          <w:sz w:val="32"/>
          <w:szCs w:val="32"/>
        </w:rPr>
        <w:t>5、负责提出生态环境领域固定资产投资规模和方向；负责提出国家、自治区和市级财政性资金安排的意见。按规定权限审批、核准规划内和年度计划规模内固定资产投资项目，配合有关部门（单位）做好组织实施和监督工作。参与指导推动循环经济和生态环境保护产业发展。</w:t>
      </w:r>
    </w:p>
    <w:p>
      <w:pPr>
        <w:ind w:firstLine="480" w:firstLineChars="150"/>
        <w:rPr>
          <w:rFonts w:ascii="仿宋_GB2312" w:hAnsi="仿宋" w:eastAsia="仿宋_GB2312"/>
          <w:sz w:val="32"/>
          <w:szCs w:val="32"/>
        </w:rPr>
      </w:pPr>
      <w:r>
        <w:rPr>
          <w:rFonts w:hint="eastAsia" w:ascii="仿宋_GB2312" w:hAnsi="仿宋" w:eastAsia="仿宋_GB2312"/>
          <w:sz w:val="32"/>
          <w:szCs w:val="32"/>
        </w:rPr>
        <w:t>6、负责生态环境准入的监督管理。受市政府委托对相关经济和技术政策、发展规划以及经济开发计划进行环境影响评价。按国家、自治区规定审批或审查各类开发建设区域、规划、项目环境影响评价文件。拟订并监督实施生态环境准入清单。</w:t>
      </w:r>
    </w:p>
    <w:p>
      <w:pPr>
        <w:ind w:firstLine="480" w:firstLineChars="150"/>
        <w:rPr>
          <w:rFonts w:ascii="仿宋_GB2312" w:hAnsi="仿宋" w:eastAsia="仿宋_GB2312"/>
          <w:sz w:val="32"/>
          <w:szCs w:val="32"/>
        </w:rPr>
      </w:pPr>
      <w:r>
        <w:rPr>
          <w:rFonts w:hint="eastAsia" w:ascii="仿宋_GB2312" w:hAnsi="仿宋" w:eastAsia="仿宋_GB2312"/>
          <w:sz w:val="32"/>
          <w:szCs w:val="32"/>
        </w:rPr>
        <w:t>7、负责监督管理全市减排目标的落实。贯彻执行国家污染物总量控制指标。组织落实各类污染物排放总量控制和排污许可证制度，提出实施总量控制的污染物名称和控制指标，监督检查各县（市、区）及太阳山开发区污染物减排任务完成情况，实施生态环境保护目标责任制。</w:t>
      </w:r>
    </w:p>
    <w:p>
      <w:pPr>
        <w:ind w:firstLine="640" w:firstLineChars="200"/>
        <w:rPr>
          <w:rFonts w:ascii="仿宋_GB2312" w:hAnsi="仿宋" w:eastAsia="仿宋_GB2312"/>
          <w:sz w:val="32"/>
          <w:szCs w:val="32"/>
        </w:rPr>
      </w:pPr>
      <w:r>
        <w:rPr>
          <w:rFonts w:hint="eastAsia" w:ascii="仿宋_GB2312" w:hAnsi="仿宋" w:eastAsia="仿宋_GB2312"/>
          <w:sz w:val="32"/>
          <w:szCs w:val="32"/>
        </w:rPr>
        <w:t>8、负责生态环境监测工作。按照国家、自治区相关标准制定全市生态环境监测制度并监督实施。会同有关部门（单位）统一规划生态环境质量监测站点设置，组织实施污染源监督性监测、温室气体减排监测、应急监测。组织对生态环境质量状况进行调查评价、预警预测，组织建设和管理全市生态环境监测网和生态环境信息网。建立和实行生态环境质量公告制度,统一发布生态环境综合性报告和重大生态环境信息。配合上级部门做好生态环境质量监测。</w:t>
      </w:r>
    </w:p>
    <w:p>
      <w:pPr>
        <w:ind w:firstLine="640" w:firstLineChars="200"/>
        <w:rPr>
          <w:rFonts w:ascii="仿宋_GB2312" w:hAnsi="仿宋" w:eastAsia="仿宋_GB2312"/>
          <w:sz w:val="32"/>
          <w:szCs w:val="32"/>
        </w:rPr>
      </w:pPr>
      <w:r>
        <w:rPr>
          <w:rFonts w:hint="eastAsia" w:ascii="仿宋_GB2312" w:hAnsi="仿宋" w:eastAsia="仿宋_GB2312"/>
          <w:sz w:val="32"/>
          <w:szCs w:val="32"/>
        </w:rPr>
        <w:t>9、负责环境污染防治的监督管理。制定全市大气、水、土壤、噪声、光、恶臭、固体废物、化学品、机动车等污染防治管理制度并监督实施。会同有关部门（单位）监督管理饮用水水源地生态环境保护工作，监督指导城乡生态环境综合整治工作、农业面源污染治理工作。负责秸秆、落叶、枯草露天焚烧监管工作。监督指导区域大气环境保护工作，组织实施区域大气污染联防联控协作机制。组织拟订应对气候变化及温室气体减排规划和政策措施。</w:t>
      </w:r>
    </w:p>
    <w:p>
      <w:pPr>
        <w:ind w:firstLine="640" w:firstLineChars="200"/>
        <w:rPr>
          <w:rFonts w:ascii="仿宋_GB2312" w:hAnsi="仿宋" w:eastAsia="仿宋_GB2312"/>
          <w:sz w:val="32"/>
          <w:szCs w:val="32"/>
        </w:rPr>
      </w:pPr>
      <w:r>
        <w:rPr>
          <w:rFonts w:hint="eastAsia" w:ascii="仿宋_GB2312" w:hAnsi="仿宋" w:eastAsia="仿宋_GB2312"/>
          <w:sz w:val="32"/>
          <w:szCs w:val="32"/>
        </w:rPr>
        <w:t>10、指导协调和监督生态环境保护修复工作。组织编制全市生态环境保护规划，监督对生态环境有影响的自然资源开发利用活动、重要生态环境建设和生态破坏恢复工作。组织制定各类自然保护地生态环境监管制度并监督执法。监督野生动植物保护、湿地生态环境保护、荒漠化防治等工作。指导协调和监督农村生态环境保护，监督生物技术环境安全，牵头生物物种（含遗传资源）工作，组织协调生物多样性保护工作，参与生态保护补偿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11、负责核与辐射安全的有关工作。贯彻执行国家核与辐射环境安全政策、规划和标准。牵头负责核安全工作协调机制有关工作，参与核事故应急处理，负责辐射环境事故应急处置工作。监督管理放射源安全，监督管理核技术应用、电磁辐射、伴有放射性矿产资源开发利用中的污染防治。</w:t>
      </w:r>
    </w:p>
    <w:p>
      <w:pPr>
        <w:ind w:firstLine="640" w:firstLineChars="200"/>
        <w:rPr>
          <w:rFonts w:ascii="仿宋_GB2312" w:hAnsi="仿宋" w:eastAsia="仿宋_GB2312"/>
          <w:sz w:val="32"/>
          <w:szCs w:val="32"/>
        </w:rPr>
      </w:pPr>
      <w:r>
        <w:rPr>
          <w:rFonts w:hint="eastAsia" w:ascii="仿宋_GB2312" w:hAnsi="仿宋" w:eastAsia="仿宋_GB2312"/>
          <w:sz w:val="32"/>
          <w:szCs w:val="32"/>
        </w:rPr>
        <w:t>12、负责生态环境监督执法。组织开展全市生态环境保护执法检查工作。查处生态环境违法行为。负责全市生态环境保护综合执法队伍建设和业务工作。按照国家有关规定，配合做好生态环境保护税征收相关工作。</w:t>
      </w:r>
    </w:p>
    <w:p>
      <w:pPr>
        <w:ind w:firstLine="640" w:firstLineChars="200"/>
        <w:rPr>
          <w:rFonts w:ascii="仿宋_GB2312" w:hAnsi="仿宋" w:eastAsia="仿宋_GB2312"/>
          <w:sz w:val="32"/>
          <w:szCs w:val="32"/>
        </w:rPr>
      </w:pPr>
      <w:r>
        <w:rPr>
          <w:rFonts w:hint="eastAsia" w:ascii="仿宋_GB2312" w:hAnsi="仿宋" w:eastAsia="仿宋_GB2312"/>
          <w:sz w:val="32"/>
          <w:szCs w:val="32"/>
        </w:rPr>
        <w:t>13、完成自治区生态环境厅、市委和市政府交办的其他任务。</w:t>
      </w:r>
    </w:p>
    <w:p>
      <w:pPr>
        <w:ind w:firstLine="640" w:firstLineChars="200"/>
        <w:rPr>
          <w:rFonts w:ascii="仿宋_GB2312" w:hAnsi="仿宋" w:eastAsia="仿宋_GB2312"/>
          <w:sz w:val="32"/>
          <w:szCs w:val="32"/>
        </w:rPr>
      </w:pPr>
      <w:r>
        <w:rPr>
          <w:rFonts w:hint="eastAsia" w:ascii="仿宋_GB2312" w:hAnsi="仿宋" w:eastAsia="仿宋_GB2312"/>
          <w:sz w:val="32"/>
          <w:szCs w:val="32"/>
        </w:rPr>
        <w:t>14、职能转变。市生态环境局统一行使生态环境行政执法和城乡各类污染排放监管职责，切实履行监管责任，全面落实大气、水、土壤污染防治行动计划。全面禁止洋垃圾入境。构建政府主导、企业为主体、社会组织和公众共同参与的生态环境治理体系，实行最严格的生态环境保护制度，严守生态保护红线和环境质量底线，实施生态立区战略，坚决打好污染防治攻坚战，保障全市生态安全。</w:t>
      </w:r>
    </w:p>
    <w:p>
      <w:pPr>
        <w:spacing w:line="580" w:lineRule="exact"/>
        <w:ind w:firstLine="643" w:firstLineChars="200"/>
        <w:rPr>
          <w:rFonts w:ascii="仿宋_GB2312" w:hAnsi="仿宋" w:eastAsia="仿宋_GB2312"/>
          <w:sz w:val="32"/>
          <w:szCs w:val="32"/>
        </w:rPr>
      </w:pPr>
      <w:r>
        <w:rPr>
          <w:rFonts w:hint="eastAsia" w:ascii="仿宋_GB2312" w:hAnsi="仿宋" w:eastAsia="仿宋_GB2312"/>
          <w:b/>
          <w:sz w:val="32"/>
          <w:szCs w:val="32"/>
        </w:rPr>
        <w:t>（二）、吴忠市生态环境保护综合执法支队</w:t>
      </w:r>
      <w:r>
        <w:rPr>
          <w:rFonts w:hint="eastAsia" w:ascii="仿宋_GB2312" w:hAnsi="仿宋" w:eastAsia="仿宋_GB2312"/>
          <w:sz w:val="32"/>
          <w:szCs w:val="32"/>
        </w:rPr>
        <w:t>：根据中国共产党吴忠</w:t>
      </w:r>
      <w:r>
        <w:rPr>
          <w:rFonts w:hint="eastAsia" w:ascii="仿宋_GB2312" w:hAnsi="仿宋" w:eastAsia="仿宋_GB2312"/>
          <w:sz w:val="32"/>
          <w:szCs w:val="32"/>
          <w:lang w:eastAsia="zh-CN"/>
        </w:rPr>
        <w:t>市委机构编制委员会</w:t>
      </w:r>
      <w:r>
        <w:rPr>
          <w:rFonts w:hint="eastAsia" w:ascii="仿宋_GB2312" w:hAnsi="仿宋" w:eastAsia="仿宋_GB2312"/>
          <w:sz w:val="32"/>
          <w:szCs w:val="32"/>
        </w:rPr>
        <w:t>关于印发《吴忠市新闻传媒中心等14个事业单位机构编制方案的通知》（吴编发[2019]48号）的通知精神，吴忠市生态环境保护综合执法支队为副处级事业单位，设5个内设机构，主要职责为：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1、贯彻执行国家、自治区生态环境保护的有关法律、法规、规章和政策。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2、监督指导各县（市、区）生态环境保护综合执法大队开展生态环境保护综合执法工作；负责统一执法标准规范，组织开展执法业务培训及考核评价工作。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3、负责组织开展执法稽查工作，对各县（市、区）生态环境保护综合执法工作落实、环境保护法律法规执行情况、环境违法行为立案查处规范性情况实施稽查。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4、负责全市重大生态环境违法案件查处和跨区域执法的组织协调工作；负责利通区、太阳山开发区生态环境违法行为查处工作。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5负责对利通区（含金积工业园区）、太阳山开发区排污单位污染物排放、建设项目环境影响评价审批、“三同时”及验收制度执行、污染防治设施运转、污染物达标排放等情况开展现场执法检查工作。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负责利通区（含金积工业园区）、太阳山开发区固体废物（危险废物、医疗废物），核与辐射安全，农业面源污染防治，规模化畜禽养殖，地下水污染防治及因开发土地、矿藏等造成生态破坏，流域水生态环境保护，自然保护地内进行非法开矿、修路、筑坝、建设造成生态破坏，饮用水源保护区等生态环境执法工作；负责突发事件的环境应急调查、处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7、依法开展利通区辖区（含金积工业园区）、太阳山开发区内排污单位环境保护税复核和环境保护税涉税信息推送工作，配合税务部门开展环境保护税稽查工作。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8、负责利通区（含金积工业园区）环境信访举报、投诉、纠纷等调查处理工作；督办各县（市、区）重大环境信访举报、投诉案件办理情况。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9、承办主管部门交办的其他事项。</w:t>
      </w:r>
    </w:p>
    <w:p>
      <w:pPr>
        <w:ind w:firstLine="482" w:firstLineChars="150"/>
        <w:rPr>
          <w:rFonts w:ascii="仿宋_GB2312" w:hAnsi="仿宋" w:eastAsia="仿宋_GB2312"/>
          <w:sz w:val="32"/>
          <w:szCs w:val="32"/>
        </w:rPr>
      </w:pPr>
      <w:r>
        <w:rPr>
          <w:rFonts w:hint="eastAsia" w:ascii="仿宋_GB2312" w:hAnsi="仿宋" w:eastAsia="仿宋_GB2312"/>
          <w:b/>
          <w:sz w:val="32"/>
          <w:szCs w:val="32"/>
        </w:rPr>
        <w:t>（三）、吴忠市环境监测站</w:t>
      </w:r>
      <w:r>
        <w:rPr>
          <w:rFonts w:hint="eastAsia" w:ascii="仿宋_GB2312" w:hAnsi="仿宋" w:eastAsia="仿宋_GB2312"/>
          <w:sz w:val="32"/>
          <w:szCs w:val="32"/>
        </w:rPr>
        <w:t>：根据吴忠</w:t>
      </w:r>
      <w:r>
        <w:rPr>
          <w:rFonts w:hint="eastAsia" w:ascii="仿宋_GB2312" w:hAnsi="仿宋" w:eastAsia="仿宋_GB2312"/>
          <w:sz w:val="32"/>
          <w:szCs w:val="32"/>
          <w:lang w:eastAsia="zh-CN"/>
        </w:rPr>
        <w:t>市委机构编制委员会</w:t>
      </w:r>
      <w:r>
        <w:rPr>
          <w:rFonts w:hint="eastAsia" w:ascii="仿宋_GB2312" w:hAnsi="仿宋" w:eastAsia="仿宋_GB2312"/>
          <w:sz w:val="32"/>
          <w:szCs w:val="32"/>
        </w:rPr>
        <w:t>关于印发《吴忠市环境监察支队机构编制方案》的通知（吴编发[2015]26号）文件，具体工作职责如下：</w:t>
      </w:r>
    </w:p>
    <w:p>
      <w:pPr>
        <w:ind w:firstLine="640" w:firstLineChars="200"/>
        <w:rPr>
          <w:rFonts w:ascii="仿宋_GB2312" w:hAnsi="仿宋" w:eastAsia="仿宋_GB2312"/>
          <w:sz w:val="32"/>
          <w:szCs w:val="32"/>
        </w:rPr>
      </w:pPr>
      <w:r>
        <w:rPr>
          <w:rFonts w:hint="eastAsia" w:ascii="仿宋_GB2312" w:hAnsi="仿宋" w:eastAsia="仿宋_GB2312"/>
          <w:sz w:val="32"/>
          <w:szCs w:val="32"/>
        </w:rPr>
        <w:t>1、对本市大气、水体、土壤、生物、噪声、放射性等各种环境要素的质量状况，按照国家统一规定的要求，进行经常性监测、分析、收集、储存和整理环境监测数据，定期向上级环境保护主管部门和上级环境监测站呈报本市环境质量状况和污染动态的技术报告。</w:t>
      </w:r>
    </w:p>
    <w:p>
      <w:pPr>
        <w:ind w:firstLine="640" w:firstLineChars="200"/>
        <w:rPr>
          <w:rFonts w:ascii="仿宋_GB2312" w:hAnsi="仿宋" w:eastAsia="仿宋_GB2312"/>
          <w:sz w:val="32"/>
          <w:szCs w:val="32"/>
        </w:rPr>
      </w:pPr>
      <w:r>
        <w:rPr>
          <w:rFonts w:hint="eastAsia" w:ascii="仿宋_GB2312" w:hAnsi="仿宋" w:eastAsia="仿宋_GB2312"/>
          <w:sz w:val="32"/>
          <w:szCs w:val="32"/>
        </w:rPr>
        <w:t>2、对本市各有关单位排放污染物的状况进行定期或不定期监督性监测，建立和健全污染源档案，为加强污染源治理提供监测数据。</w:t>
      </w:r>
    </w:p>
    <w:p>
      <w:pPr>
        <w:ind w:firstLine="640" w:firstLineChars="200"/>
        <w:rPr>
          <w:rFonts w:ascii="仿宋_GB2312" w:hAnsi="仿宋" w:eastAsia="仿宋_GB2312"/>
          <w:sz w:val="32"/>
          <w:szCs w:val="32"/>
        </w:rPr>
      </w:pPr>
      <w:r>
        <w:rPr>
          <w:rFonts w:hint="eastAsia" w:ascii="仿宋_GB2312" w:hAnsi="仿宋" w:eastAsia="仿宋_GB2312"/>
          <w:sz w:val="32"/>
          <w:szCs w:val="32"/>
        </w:rPr>
        <w:t>3、参加制订本市环境监测规划和计划，完成主管部门为进行环境管理所需要的各项监测任务，为市政府执行各项环境法规标准、全面开展环境管理提供准确、可靠的监测数据和资料。</w:t>
      </w:r>
    </w:p>
    <w:p>
      <w:pPr>
        <w:ind w:firstLine="640" w:firstLineChars="200"/>
        <w:rPr>
          <w:rFonts w:ascii="仿宋_GB2312" w:hAnsi="仿宋" w:eastAsia="仿宋_GB2312"/>
          <w:sz w:val="32"/>
          <w:szCs w:val="32"/>
        </w:rPr>
      </w:pPr>
      <w:r>
        <w:rPr>
          <w:rFonts w:hint="eastAsia" w:ascii="仿宋_GB2312" w:hAnsi="仿宋" w:eastAsia="仿宋_GB2312"/>
          <w:sz w:val="32"/>
          <w:szCs w:val="32"/>
        </w:rPr>
        <w:t>4、负责本市环境质量评价，编写本市年度环境质量报告书，编制本市环境质量年鉴；负责收集、整理、保存和上报各类监测数据。</w:t>
      </w:r>
    </w:p>
    <w:p>
      <w:pPr>
        <w:ind w:firstLine="640" w:firstLineChars="200"/>
        <w:rPr>
          <w:rFonts w:ascii="仿宋_GB2312" w:hAnsi="仿宋" w:eastAsia="仿宋_GB2312"/>
          <w:sz w:val="32"/>
          <w:szCs w:val="32"/>
        </w:rPr>
      </w:pPr>
      <w:r>
        <w:rPr>
          <w:rFonts w:hint="eastAsia" w:ascii="仿宋_GB2312" w:hAnsi="仿宋" w:eastAsia="仿宋_GB2312"/>
          <w:sz w:val="32"/>
          <w:szCs w:val="32"/>
        </w:rPr>
        <w:t>5、负责本市环境监测网的业务组织和协调，组织和完善各辖区、企业的环境监测网络，为全市各污染企业的监测分析提供业务指导；组织技术交流和监测人员的培训。</w:t>
      </w:r>
    </w:p>
    <w:p>
      <w:pPr>
        <w:ind w:firstLine="640" w:firstLineChars="200"/>
        <w:rPr>
          <w:rFonts w:ascii="仿宋_GB2312" w:hAnsi="仿宋" w:eastAsia="仿宋_GB2312"/>
          <w:sz w:val="32"/>
          <w:szCs w:val="32"/>
        </w:rPr>
      </w:pPr>
      <w:r>
        <w:rPr>
          <w:rFonts w:hint="eastAsia" w:ascii="仿宋_GB2312" w:hAnsi="仿宋" w:eastAsia="仿宋_GB2312"/>
          <w:sz w:val="32"/>
          <w:szCs w:val="32"/>
        </w:rPr>
        <w:t>6、负责环境科研工作，研究野外作业、采样、布点、样品运输、贮存、分析测定等各重要技术环节中存在的问题，促进环境监测技术的不断发展。</w:t>
      </w:r>
    </w:p>
    <w:p>
      <w:pPr>
        <w:ind w:firstLine="640" w:firstLineChars="200"/>
        <w:rPr>
          <w:rFonts w:ascii="仿宋_GB2312" w:hAnsi="仿宋" w:eastAsia="仿宋_GB2312"/>
          <w:sz w:val="32"/>
          <w:szCs w:val="32"/>
        </w:rPr>
      </w:pPr>
      <w:r>
        <w:rPr>
          <w:rFonts w:hint="eastAsia" w:ascii="仿宋_GB2312" w:hAnsi="仿宋" w:eastAsia="仿宋_GB2312"/>
          <w:sz w:val="32"/>
          <w:szCs w:val="32"/>
        </w:rPr>
        <w:t>7、承担国家和地方性环境标准、技术规范、环境测试新技术、新方法的验证任务，参加地方环境标准的制订、修订。</w:t>
      </w:r>
    </w:p>
    <w:p>
      <w:pPr>
        <w:ind w:firstLine="640" w:firstLineChars="200"/>
        <w:rPr>
          <w:rFonts w:ascii="仿宋_GB2312" w:hAnsi="仿宋" w:eastAsia="仿宋_GB2312"/>
          <w:sz w:val="32"/>
          <w:szCs w:val="32"/>
        </w:rPr>
      </w:pPr>
      <w:r>
        <w:rPr>
          <w:rFonts w:hint="eastAsia" w:ascii="仿宋_GB2312" w:hAnsi="仿宋" w:eastAsia="仿宋_GB2312"/>
          <w:sz w:val="32"/>
          <w:szCs w:val="32"/>
        </w:rPr>
        <w:t>8、参加本市污染纠纷调查，负责环境污染纠纷的技术仲裁。</w:t>
      </w:r>
    </w:p>
    <w:p>
      <w:pPr>
        <w:ind w:firstLine="640" w:firstLineChars="200"/>
        <w:rPr>
          <w:rFonts w:ascii="仿宋_GB2312" w:hAnsi="仿宋" w:eastAsia="仿宋_GB2312"/>
          <w:sz w:val="32"/>
          <w:szCs w:val="32"/>
        </w:rPr>
      </w:pPr>
      <w:r>
        <w:rPr>
          <w:rFonts w:hint="eastAsia" w:ascii="仿宋_GB2312" w:hAnsi="仿宋" w:eastAsia="仿宋_GB2312"/>
          <w:sz w:val="32"/>
          <w:szCs w:val="32"/>
        </w:rPr>
        <w:t>9、完成上级业务主管部门交办的其它工作。</w:t>
      </w:r>
    </w:p>
    <w:p>
      <w:pPr>
        <w:widowControl/>
        <w:spacing w:line="560" w:lineRule="exact"/>
        <w:ind w:firstLine="643" w:firstLineChars="200"/>
        <w:jc w:val="left"/>
        <w:rPr>
          <w:rFonts w:ascii="仿宋_GB2312" w:hAnsi="仿宋_GB2312" w:eastAsia="仿宋_GB2312" w:cs="仿宋_GB2312"/>
          <w:sz w:val="32"/>
          <w:szCs w:val="32"/>
        </w:rPr>
      </w:pPr>
      <w:r>
        <w:rPr>
          <w:rFonts w:hint="eastAsia" w:ascii="仿宋_GB2312" w:hAnsi="仿宋" w:eastAsia="仿宋_GB2312"/>
          <w:b/>
          <w:sz w:val="32"/>
          <w:szCs w:val="32"/>
        </w:rPr>
        <w:t>（四）、吴忠市生态环境局各派出机构（5个分局</w:t>
      </w:r>
      <w:r>
        <w:rPr>
          <w:rFonts w:hint="eastAsia" w:ascii="仿宋_GB2312" w:hAnsi="仿宋_GB2312" w:eastAsia="仿宋_GB2312" w:cs="仿宋_GB2312"/>
          <w:sz w:val="32"/>
          <w:szCs w:val="32"/>
        </w:rPr>
        <w:t>主要职责是: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负责落实国家、自治区、吴忠市生态环境基本制度，建立健全辖区生态环境制度，会同有关部门(单位)拟订生态环境政策、规划并组织实施，参与编制并监督实施重点区域、流域、饮用水水源地等生态环境功能区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负责辖区生态环境保护工作。组织协调环境污染事故、生态破坏事件和环境信访件的调查处理，指导协调所在县(市、区)有关部门(单位)对突发生态环境事件的应急、预警工作，指导实施生态环境损害赔偿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3、配合做好生态环境保护督察工作。对所在辖区及有关部门(单位)贯彻落实中央、自治区和市生态环境保护决策部署情况进行</w:t>
      </w:r>
      <w:bookmarkStart w:id="0" w:name="_GoBack"/>
      <w:bookmarkEnd w:id="0"/>
      <w:r>
        <w:rPr>
          <w:rFonts w:hint="eastAsia" w:ascii="仿宋_GB2312" w:hAnsi="仿宋_GB2312" w:eastAsia="仿宋_GB2312" w:cs="仿宋_GB2312"/>
          <w:sz w:val="32"/>
          <w:szCs w:val="32"/>
        </w:rPr>
        <w:t>督查检查。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4、组织协调辖区生态环境宣传教育工作，推动社会组织和公众参与生态环境保护。组织实施辖区生态环境科学研究和技术工程示范，推动生态环境科技发展。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5、负责提出辖区生态环境领域固定资产投资规模和方向、国家和自治区财政性资金安排的意见，配合有关部门(单位)做好组织实施和监督工作。参与指导推动循环经济和生态环境保护产业发展。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6、根据市生态环境局授权，承担辖区生态环境许可具体工作。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负责监督管理辖区减排目标的落实。组织落实各类污染物排放总量控制和排污许可证制度，确定大气、水等纳污能力，提出实施总量控制的污染物名称和控制指标，监督检查污染物减排任务完成情况，落实生态环境保护目标责任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负责辖区生态环境监测工作。贯彻落实国家、自治区生态环境监测制度和规范、标准并监督实施。组织实施生态环境执法监测、污染源监测和突发生态环境事件应急监测，配合上级部门做好生态环境质量监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负责辖区环境污染防治的监督管理。监督落实大气、水、土壤、噪声、光、恶臭、固体废物、化学品、机动车等污染防治管理制度。会同有关部门(单位)监督管理饮用水水源地生态环境保护工作，指导协调城乡生态环境综合整治工作，监督指导农业面源污染治理工作。监督指导区域大气环境保护工作，组织实施区域大气污染联防联控协作机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指导协调和监督辖区生态环境保护修复工作。组织编制生态环境保护规划，监督对生态环境有影响的自然资源开发利用活动、重要生态环境建设和生态破坏恢复工作。组织制定各类自然保护地生态环境监管制度并监督执法。监督野生动植物保护、湿地生态环境保护、荒漠化防治等工作。指导协调和监督农村生态环境保护，监督生物技术环境安全，牵头生物物种(含遗传资源)工作，组织协调生物多样性保护工作，参与生态保护补偿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负责辖区核与辐射安全的有关工作。贯彻执行国家核与辐射环境安全政策、规划和标准。牵头负责核安全工作协调机制有关工作，参与核事故应急处理，负责协调辐射环境事故应急处置工作。配合监督管理放射源安全， 监督管理核技术应用、电磁辐射、伴有放射性矿产资源开发利用中的污染防治。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负责辖区生态环境综合行政执法(利通区生态环境综合执法工作由市生态环境局负责)。组织开展辖区生态环境保护执法检查活动，查处生态环境违法行为。负责辖区生态环境保护综合执法队伍管理工作。按照国家有关规定，配合做好环境保护税征收相关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13、统筹协调辖区负有生态环境保护监管职责的相关部门(单位)，研究解决本地区生态环境保护重大问题，为县(市、区)党委、政府履行生态环境保护责任提供决策支持。</w:t>
      </w:r>
    </w:p>
    <w:p>
      <w:pPr>
        <w:spacing w:line="560" w:lineRule="exact"/>
        <w:ind w:firstLine="640" w:firstLineChars="200"/>
        <w:rPr>
          <w:rFonts w:ascii="仿宋_GB2312" w:hAnsi="宋体" w:eastAsia="仿宋_GB2312" w:cs="宋体"/>
          <w:bCs/>
          <w:color w:val="000000"/>
          <w:kern w:val="0"/>
          <w:sz w:val="32"/>
          <w:szCs w:val="32"/>
        </w:rPr>
      </w:pPr>
      <w:r>
        <w:rPr>
          <w:rFonts w:hint="eastAsia" w:ascii="仿宋_GB2312" w:hAnsi="仿宋_GB2312" w:eastAsia="仿宋_GB2312" w:cs="仿宋_GB2312"/>
          <w:sz w:val="32"/>
          <w:szCs w:val="32"/>
        </w:rPr>
        <w:t>14、承担所在县(市、区)生态环境保护领导小组办公室日常工作，完成市生态环境局交办的其他任务，定期向市生态环境局报告工作。</w:t>
      </w:r>
    </w:p>
    <w:p>
      <w:pPr>
        <w:ind w:firstLine="643" w:firstLineChars="200"/>
        <w:rPr>
          <w:rFonts w:ascii="仿宋_GB2312" w:hAnsi="仿宋" w:eastAsia="仿宋_GB2312"/>
          <w:b/>
          <w:sz w:val="32"/>
          <w:szCs w:val="32"/>
        </w:rPr>
      </w:pPr>
      <w:r>
        <w:rPr>
          <w:rFonts w:hint="eastAsia" w:ascii="仿宋_GB2312" w:hAnsi="仿宋" w:eastAsia="仿宋_GB2312"/>
          <w:b/>
          <w:sz w:val="32"/>
          <w:szCs w:val="32"/>
        </w:rPr>
        <w:t>二、部门预算单位构成</w:t>
      </w:r>
    </w:p>
    <w:p>
      <w:pPr>
        <w:ind w:firstLine="640" w:firstLineChars="200"/>
        <w:rPr>
          <w:rFonts w:ascii="仿宋_GB2312" w:hAnsi="仿宋" w:eastAsia="仿宋_GB2312"/>
          <w:sz w:val="32"/>
          <w:szCs w:val="32"/>
        </w:rPr>
      </w:pPr>
      <w:r>
        <w:rPr>
          <w:rFonts w:hint="eastAsia" w:ascii="仿宋_GB2312" w:hAnsi="仿宋" w:eastAsia="仿宋_GB2312"/>
          <w:sz w:val="32"/>
          <w:szCs w:val="32"/>
        </w:rPr>
        <w:t>从预算单位构成看，吴忠市生态环境局汇总部门预算包括：吴忠市生态环境局本级1个行政单位预算、所属2个事业单位预算、5个派出机构预算。纳入吴忠市生态环境局2021年部门预算编制的二级预算单位包括：</w:t>
      </w:r>
    </w:p>
    <w:p>
      <w:pPr>
        <w:numPr>
          <w:ilvl w:val="0"/>
          <w:numId w:val="1"/>
        </w:numPr>
        <w:rPr>
          <w:rFonts w:ascii="仿宋_GB2312" w:hAnsi="仿宋" w:eastAsia="仿宋_GB2312"/>
          <w:b/>
          <w:sz w:val="32"/>
          <w:szCs w:val="32"/>
        </w:rPr>
      </w:pPr>
      <w:r>
        <w:rPr>
          <w:rFonts w:hint="eastAsia" w:ascii="仿宋_GB2312" w:hAnsi="仿宋" w:eastAsia="仿宋_GB2312"/>
          <w:b/>
          <w:sz w:val="32"/>
          <w:szCs w:val="32"/>
        </w:rPr>
        <w:t>吴忠市生态环境局本级</w:t>
      </w:r>
    </w:p>
    <w:p>
      <w:pPr>
        <w:ind w:firstLine="480" w:firstLineChars="150"/>
        <w:rPr>
          <w:rFonts w:ascii="仿宋_GB2312" w:hAnsi="仿宋" w:eastAsia="仿宋_GB2312"/>
          <w:sz w:val="32"/>
          <w:szCs w:val="32"/>
        </w:rPr>
      </w:pPr>
      <w:r>
        <w:rPr>
          <w:rFonts w:hint="eastAsia" w:ascii="仿宋_GB2312" w:hAnsi="仿宋" w:eastAsia="仿宋_GB2312"/>
          <w:sz w:val="32"/>
          <w:szCs w:val="32"/>
        </w:rPr>
        <w:t>吴忠市生态环境局为一级预算单位，行政编制20名。设局长1名，副局长3名。核定科级领导职数6正6副，机关后勤服务事业编制1名，执行行政单位会计制度。</w:t>
      </w:r>
    </w:p>
    <w:p>
      <w:pPr>
        <w:widowControl/>
        <w:numPr>
          <w:ilvl w:val="0"/>
          <w:numId w:val="1"/>
        </w:numPr>
        <w:spacing w:line="560" w:lineRule="exact"/>
        <w:jc w:val="left"/>
        <w:rPr>
          <w:rFonts w:ascii="仿宋_GB2312" w:hAnsi="仿宋" w:eastAsia="仿宋_GB2312"/>
          <w:b/>
          <w:sz w:val="32"/>
          <w:szCs w:val="32"/>
        </w:rPr>
      </w:pPr>
      <w:r>
        <w:rPr>
          <w:rFonts w:hint="eastAsia" w:ascii="仿宋_GB2312" w:hAnsi="仿宋" w:eastAsia="仿宋_GB2312"/>
          <w:b/>
          <w:sz w:val="32"/>
          <w:szCs w:val="32"/>
        </w:rPr>
        <w:t>吴忠市生态环境保护综合执法支队</w:t>
      </w:r>
    </w:p>
    <w:p>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cs="宋体"/>
          <w:kern w:val="0"/>
          <w:sz w:val="32"/>
          <w:szCs w:val="32"/>
        </w:rPr>
        <w:t>吴忠市生态环境保护综合执法支队</w:t>
      </w:r>
      <w:r>
        <w:rPr>
          <w:rFonts w:hint="eastAsia" w:ascii="仿宋_GB2312" w:hAnsi="仿宋" w:eastAsia="仿宋_GB2312"/>
          <w:sz w:val="32"/>
          <w:szCs w:val="32"/>
        </w:rPr>
        <w:t>隶属吴忠市生态环境局独立的二级预算单位，2019年12月经吴忠</w:t>
      </w:r>
      <w:r>
        <w:rPr>
          <w:rFonts w:hint="eastAsia" w:ascii="仿宋_GB2312" w:hAnsi="仿宋" w:eastAsia="仿宋_GB2312"/>
          <w:sz w:val="32"/>
          <w:szCs w:val="32"/>
          <w:lang w:eastAsia="zh-CN"/>
        </w:rPr>
        <w:t>市委机构编制委员会</w:t>
      </w:r>
      <w:r>
        <w:rPr>
          <w:rFonts w:hint="eastAsia" w:ascii="仿宋_GB2312" w:hAnsi="仿宋" w:eastAsia="仿宋_GB2312"/>
          <w:sz w:val="32"/>
          <w:szCs w:val="32"/>
        </w:rPr>
        <w:t>关于印发《吴忠市新闻传媒中心等14个事业单位机构编制方案的通知》（吴编发[2019]48号）和市委组织部、</w:t>
      </w:r>
      <w:r>
        <w:rPr>
          <w:rFonts w:hint="eastAsia" w:ascii="仿宋_GB2312" w:hAnsi="仿宋" w:eastAsia="仿宋_GB2312"/>
          <w:sz w:val="32"/>
          <w:szCs w:val="32"/>
          <w:lang w:eastAsia="zh-CN"/>
        </w:rPr>
        <w:t>市委机构编制委员会</w:t>
      </w:r>
      <w:r>
        <w:rPr>
          <w:rFonts w:hint="eastAsia" w:ascii="仿宋_GB2312" w:hAnsi="仿宋" w:eastAsia="仿宋_GB2312"/>
          <w:sz w:val="32"/>
          <w:szCs w:val="32"/>
        </w:rPr>
        <w:t>、市人力资源和社会保障局《关于印发&lt;吴忠市生态环境机构垂直管理制度改革机构编制人员划转方案&gt;的通知》（吴组通[2019]112号），批复为副处级全额拨款事业单位，核定市本级事业编制84人，其中市本级核定市事业编制32人（全额预算事业编制21人、定额补助事业编制5人、自收自支编制6人）；红寺堡生态环境保护综合执法大队核定市事业编制6人（全额预算事业编制6人）；青铜峡生态环境保护综合执法大队核定市事业编制22人（全额预算事业编制11人、定额补助事业编制11人）；盐池生态环境保护综合执法大队核定市事业编制9人（全额预算事业编制9人）；同心生态环境保护综合执法大队核定市事业编制15人（全额预算事业编制15人）。各大队人员均在原地工作，预算分别列入吴忠市生态环境局各派出机构。</w:t>
      </w:r>
      <w:r>
        <w:rPr>
          <w:rFonts w:hint="eastAsia" w:ascii="仿宋_GB2312" w:hAnsi="仿宋" w:eastAsia="仿宋_GB2312" w:cs="宋体"/>
          <w:kern w:val="0"/>
          <w:sz w:val="32"/>
          <w:szCs w:val="32"/>
        </w:rPr>
        <w:t>吴忠市生态环境保护综合执法支队</w:t>
      </w:r>
      <w:r>
        <w:rPr>
          <w:rFonts w:hint="eastAsia" w:ascii="仿宋_GB2312" w:hAnsi="仿宋" w:eastAsia="仿宋_GB2312"/>
          <w:sz w:val="32"/>
          <w:szCs w:val="32"/>
        </w:rPr>
        <w:t>执行政府会计制度。</w:t>
      </w:r>
    </w:p>
    <w:p>
      <w:pPr>
        <w:ind w:firstLine="643" w:firstLineChars="200"/>
        <w:rPr>
          <w:rFonts w:ascii="仿宋_GB2312" w:hAnsi="仿宋" w:eastAsia="仿宋_GB2312"/>
          <w:b/>
          <w:sz w:val="32"/>
          <w:szCs w:val="32"/>
        </w:rPr>
      </w:pPr>
      <w:r>
        <w:rPr>
          <w:rFonts w:hint="eastAsia" w:ascii="仿宋_GB2312" w:hAnsi="仿宋" w:eastAsia="仿宋_GB2312"/>
          <w:b/>
          <w:sz w:val="32"/>
          <w:szCs w:val="32"/>
        </w:rPr>
        <w:t>3、吴忠市环境监测站</w:t>
      </w:r>
    </w:p>
    <w:p>
      <w:pPr>
        <w:ind w:firstLine="800" w:firstLineChars="250"/>
        <w:rPr>
          <w:rFonts w:ascii="仿宋_GB2312" w:hAnsi="宋体" w:eastAsia="仿宋_GB2312"/>
          <w:sz w:val="32"/>
          <w:szCs w:val="32"/>
        </w:rPr>
      </w:pPr>
      <w:r>
        <w:rPr>
          <w:rFonts w:hint="eastAsia" w:ascii="仿宋_GB2312" w:hAnsi="宋体" w:eastAsia="仿宋_GB2312"/>
          <w:sz w:val="32"/>
          <w:szCs w:val="32"/>
        </w:rPr>
        <w:t>吴忠市生态环境监测站隶属吴忠市生态环境局独立的二级预算单位，</w:t>
      </w:r>
      <w:r>
        <w:rPr>
          <w:rFonts w:hint="eastAsia" w:ascii="仿宋_GB2312" w:hAnsi="仿宋" w:eastAsia="仿宋_GB2312"/>
          <w:sz w:val="32"/>
          <w:szCs w:val="32"/>
        </w:rPr>
        <w:t>2019年12月经吴忠</w:t>
      </w:r>
      <w:r>
        <w:rPr>
          <w:rFonts w:hint="eastAsia" w:ascii="仿宋_GB2312" w:hAnsi="仿宋" w:eastAsia="仿宋_GB2312"/>
          <w:sz w:val="32"/>
          <w:szCs w:val="32"/>
          <w:lang w:eastAsia="zh-CN"/>
        </w:rPr>
        <w:t>市委机构编制委员会</w:t>
      </w:r>
      <w:r>
        <w:rPr>
          <w:rFonts w:hint="eastAsia" w:ascii="仿宋_GB2312" w:hAnsi="仿宋" w:eastAsia="仿宋_GB2312"/>
          <w:sz w:val="32"/>
          <w:szCs w:val="32"/>
        </w:rPr>
        <w:t>关于印发《吴忠市新闻传媒中心等14个事业单位机构编制方案的通知》（吴编发[2019]48号）和市委组织部、</w:t>
      </w:r>
      <w:r>
        <w:rPr>
          <w:rFonts w:hint="eastAsia" w:ascii="仿宋_GB2312" w:hAnsi="仿宋" w:eastAsia="仿宋_GB2312"/>
          <w:sz w:val="32"/>
          <w:szCs w:val="32"/>
          <w:lang w:eastAsia="zh-CN"/>
        </w:rPr>
        <w:t>市委机构编制委员会</w:t>
      </w:r>
      <w:r>
        <w:rPr>
          <w:rFonts w:hint="eastAsia" w:ascii="仿宋_GB2312" w:hAnsi="仿宋" w:eastAsia="仿宋_GB2312"/>
          <w:sz w:val="32"/>
          <w:szCs w:val="32"/>
        </w:rPr>
        <w:t>、市人力资源和社会保障局《关于印发&lt;吴忠市生态环境机构垂直管理制度改革机构编制人员划转方案&gt;的通知》（吴组通[2019]112号），批复</w:t>
      </w:r>
      <w:r>
        <w:rPr>
          <w:rFonts w:hint="eastAsia" w:ascii="仿宋_GB2312" w:hAnsi="宋体" w:eastAsia="仿宋_GB2312"/>
          <w:sz w:val="32"/>
          <w:szCs w:val="32"/>
        </w:rPr>
        <w:t>为正科级全额拨款事业单位。核定事业编制57名（市本级核定编制34人、青铜峡生态环境监测站12人、盐池生态环境监测站5人、同心生态环境监测站6人），其中：全额预算35名（市本级核定编制18人、青铜峡生态环境监测站6人、盐池生态环境监测站5人、同心生态环境监测站6人）；定额补助22名（市本级核定编制16人、青铜峡生态环境监测站6人）。</w:t>
      </w:r>
      <w:r>
        <w:rPr>
          <w:rFonts w:hint="eastAsia" w:ascii="仿宋_GB2312" w:hAnsi="仿宋" w:eastAsia="仿宋_GB2312"/>
          <w:sz w:val="32"/>
          <w:szCs w:val="32"/>
        </w:rPr>
        <w:t>各工作站人员均在原地工作，预算分别列入吴忠市生态环境局各派出机构。</w:t>
      </w:r>
      <w:r>
        <w:rPr>
          <w:rFonts w:hint="eastAsia" w:ascii="仿宋_GB2312" w:hAnsi="宋体" w:eastAsia="仿宋_GB2312"/>
          <w:sz w:val="32"/>
          <w:szCs w:val="32"/>
        </w:rPr>
        <w:t>吴忠市生态环境监测站执行事业单位会计制度。</w:t>
      </w:r>
    </w:p>
    <w:p>
      <w:pPr>
        <w:spacing w:line="560" w:lineRule="exact"/>
        <w:ind w:firstLine="480" w:firstLineChars="150"/>
        <w:rPr>
          <w:rFonts w:ascii="仿宋_GB2312" w:hAnsi="宋体" w:eastAsia="仿宋_GB2312" w:cs="宋体"/>
          <w:kern w:val="0"/>
          <w:sz w:val="32"/>
          <w:szCs w:val="32"/>
        </w:rPr>
      </w:pPr>
      <w:r>
        <w:rPr>
          <w:rFonts w:hint="eastAsia" w:ascii="仿宋_GB2312" w:hAnsi="仿宋" w:eastAsia="仿宋_GB2312"/>
          <w:sz w:val="32"/>
          <w:szCs w:val="32"/>
        </w:rPr>
        <w:t>4、</w:t>
      </w:r>
      <w:r>
        <w:rPr>
          <w:rFonts w:hint="eastAsia" w:ascii="仿宋_GB2312" w:hAnsi="宋体" w:eastAsia="仿宋_GB2312" w:cs="宋体"/>
          <w:kern w:val="0"/>
          <w:sz w:val="32"/>
          <w:szCs w:val="32"/>
        </w:rPr>
        <w:t>吴忠市生态环境局利通分局为吴忠市生态环境局派出的正科级行政机构，</w:t>
      </w:r>
      <w:r>
        <w:rPr>
          <w:rFonts w:hint="eastAsia" w:ascii="仿宋_GB2312" w:hAnsi="仿宋" w:eastAsia="仿宋_GB2312"/>
          <w:sz w:val="32"/>
          <w:szCs w:val="32"/>
        </w:rPr>
        <w:t>隶属吴忠市生态环境局独立的二级预算单位，执行行政单位会计制度。</w:t>
      </w:r>
      <w:r>
        <w:rPr>
          <w:rFonts w:hint="eastAsia" w:ascii="仿宋_GB2312" w:hAnsi="宋体" w:eastAsia="仿宋_GB2312" w:cs="宋体"/>
          <w:kern w:val="0"/>
          <w:sz w:val="32"/>
          <w:szCs w:val="32"/>
        </w:rPr>
        <w:t>按照</w:t>
      </w:r>
      <w:r>
        <w:rPr>
          <w:rFonts w:hint="eastAsia" w:ascii="仿宋_GB2312" w:hAnsi="仿宋" w:eastAsia="仿宋_GB2312"/>
          <w:sz w:val="32"/>
          <w:szCs w:val="32"/>
        </w:rPr>
        <w:t>市委组织部、</w:t>
      </w:r>
      <w:r>
        <w:rPr>
          <w:rFonts w:hint="eastAsia" w:ascii="仿宋_GB2312" w:hAnsi="仿宋" w:eastAsia="仿宋_GB2312"/>
          <w:sz w:val="32"/>
          <w:szCs w:val="32"/>
          <w:lang w:eastAsia="zh-CN"/>
        </w:rPr>
        <w:t>市委机构编制委员会</w:t>
      </w:r>
      <w:r>
        <w:rPr>
          <w:rFonts w:hint="eastAsia" w:ascii="仿宋_GB2312" w:hAnsi="仿宋" w:eastAsia="仿宋_GB2312"/>
          <w:sz w:val="32"/>
          <w:szCs w:val="32"/>
        </w:rPr>
        <w:t>、市人力资源和社会保障局《关于印发&lt;吴忠市生态环境机构垂直管理制度改革机构编制人员划转方案&gt;的通知》（吴组通[2019]112号），</w:t>
      </w:r>
      <w:r>
        <w:rPr>
          <w:rFonts w:hint="eastAsia" w:ascii="仿宋_GB2312" w:hAnsi="宋体" w:eastAsia="仿宋_GB2312" w:cs="宋体"/>
          <w:kern w:val="0"/>
          <w:sz w:val="32"/>
          <w:szCs w:val="32"/>
        </w:rPr>
        <w:t>核定行政编制数5名。</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color w:val="000000"/>
          <w:kern w:val="0"/>
          <w:sz w:val="32"/>
          <w:szCs w:val="32"/>
        </w:rPr>
        <w:t>5、吴忠市生态环境局红寺堡分局</w:t>
      </w:r>
      <w:r>
        <w:rPr>
          <w:rFonts w:hint="eastAsia" w:ascii="仿宋_GB2312" w:hAnsi="宋体" w:eastAsia="仿宋_GB2312" w:cs="宋体"/>
          <w:kern w:val="0"/>
          <w:sz w:val="32"/>
          <w:szCs w:val="32"/>
        </w:rPr>
        <w:t>为吴忠市生态环境局派出的正科级行政机构，</w:t>
      </w:r>
      <w:r>
        <w:rPr>
          <w:rFonts w:hint="eastAsia" w:ascii="仿宋_GB2312" w:hAnsi="仿宋" w:eastAsia="仿宋_GB2312"/>
          <w:sz w:val="32"/>
          <w:szCs w:val="32"/>
        </w:rPr>
        <w:t>隶属吴忠市生态环境局独立的二级预算单位，执行行政单位会计制度。</w:t>
      </w:r>
      <w:r>
        <w:rPr>
          <w:rFonts w:hint="eastAsia" w:ascii="仿宋_GB2312" w:hAnsi="宋体" w:eastAsia="仿宋_GB2312" w:cs="宋体"/>
          <w:kern w:val="0"/>
          <w:sz w:val="32"/>
          <w:szCs w:val="32"/>
        </w:rPr>
        <w:t>按照</w:t>
      </w:r>
      <w:r>
        <w:rPr>
          <w:rFonts w:hint="eastAsia" w:ascii="仿宋_GB2312" w:hAnsi="仿宋" w:eastAsia="仿宋_GB2312"/>
          <w:sz w:val="32"/>
          <w:szCs w:val="32"/>
        </w:rPr>
        <w:t>市委组织部、</w:t>
      </w:r>
      <w:r>
        <w:rPr>
          <w:rFonts w:hint="eastAsia" w:ascii="仿宋_GB2312" w:hAnsi="仿宋" w:eastAsia="仿宋_GB2312"/>
          <w:sz w:val="32"/>
          <w:szCs w:val="32"/>
          <w:lang w:eastAsia="zh-CN"/>
        </w:rPr>
        <w:t>市委机构编制委员会</w:t>
      </w:r>
      <w:r>
        <w:rPr>
          <w:rFonts w:hint="eastAsia" w:ascii="仿宋_GB2312" w:hAnsi="仿宋" w:eastAsia="仿宋_GB2312"/>
          <w:sz w:val="32"/>
          <w:szCs w:val="32"/>
        </w:rPr>
        <w:t>、市人力资源和社会保障局《关于印发&lt;吴忠市生态环境机构垂直管理制度改革机构编制人员划转方案&gt;的通知》（吴组通[2019]112号），</w:t>
      </w:r>
      <w:r>
        <w:rPr>
          <w:rFonts w:hint="eastAsia" w:ascii="仿宋_GB2312" w:hAnsi="宋体" w:eastAsia="仿宋_GB2312" w:cs="宋体"/>
          <w:kern w:val="0"/>
          <w:sz w:val="32"/>
          <w:szCs w:val="32"/>
        </w:rPr>
        <w:t>核定行政编制数2名。</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color w:val="000000"/>
          <w:kern w:val="0"/>
          <w:sz w:val="32"/>
          <w:szCs w:val="32"/>
        </w:rPr>
        <w:t>6、</w:t>
      </w:r>
      <w:r>
        <w:rPr>
          <w:rFonts w:hint="eastAsia" w:ascii="仿宋_GB2312" w:hAnsi="宋体" w:eastAsia="仿宋_GB2312"/>
          <w:color w:val="000000"/>
          <w:kern w:val="0"/>
          <w:sz w:val="32"/>
          <w:szCs w:val="32"/>
        </w:rPr>
        <w:t>吴忠市生态环境局青铜峡分局</w:t>
      </w:r>
      <w:r>
        <w:rPr>
          <w:rFonts w:hint="eastAsia" w:ascii="仿宋_GB2312" w:hAnsi="宋体" w:eastAsia="仿宋_GB2312" w:cs="宋体"/>
          <w:kern w:val="0"/>
          <w:sz w:val="32"/>
          <w:szCs w:val="32"/>
        </w:rPr>
        <w:t>为吴忠市生态环境局派出的正科级行政机构，</w:t>
      </w:r>
      <w:r>
        <w:rPr>
          <w:rFonts w:hint="eastAsia" w:ascii="仿宋_GB2312" w:hAnsi="仿宋" w:eastAsia="仿宋_GB2312"/>
          <w:sz w:val="32"/>
          <w:szCs w:val="32"/>
        </w:rPr>
        <w:t>隶属吴忠市生态环境局独立的二级预算单位，执行行政单位会计制度。</w:t>
      </w:r>
      <w:r>
        <w:rPr>
          <w:rFonts w:hint="eastAsia" w:ascii="仿宋_GB2312" w:hAnsi="宋体" w:eastAsia="仿宋_GB2312" w:cs="宋体"/>
          <w:kern w:val="0"/>
          <w:sz w:val="32"/>
          <w:szCs w:val="32"/>
        </w:rPr>
        <w:t>按照</w:t>
      </w:r>
      <w:r>
        <w:rPr>
          <w:rFonts w:hint="eastAsia" w:ascii="仿宋_GB2312" w:hAnsi="仿宋" w:eastAsia="仿宋_GB2312"/>
          <w:sz w:val="32"/>
          <w:szCs w:val="32"/>
        </w:rPr>
        <w:t>市委组织部、</w:t>
      </w:r>
      <w:r>
        <w:rPr>
          <w:rFonts w:hint="eastAsia" w:ascii="仿宋_GB2312" w:hAnsi="仿宋" w:eastAsia="仿宋_GB2312"/>
          <w:sz w:val="32"/>
          <w:szCs w:val="32"/>
          <w:lang w:eastAsia="zh-CN"/>
        </w:rPr>
        <w:t>市委机构编制委员会</w:t>
      </w:r>
      <w:r>
        <w:rPr>
          <w:rFonts w:hint="eastAsia" w:ascii="仿宋_GB2312" w:hAnsi="仿宋" w:eastAsia="仿宋_GB2312"/>
          <w:sz w:val="32"/>
          <w:szCs w:val="32"/>
        </w:rPr>
        <w:t>、市人力资源和社会保障局《关于印发&lt;吴忠市生态环境机构垂直管理制度改革机构编制人员划转方案&gt;的通知》（吴组通[2019]112号），</w:t>
      </w:r>
      <w:r>
        <w:rPr>
          <w:rFonts w:hint="eastAsia" w:ascii="仿宋_GB2312" w:hAnsi="宋体" w:eastAsia="仿宋_GB2312" w:cs="宋体"/>
          <w:kern w:val="0"/>
          <w:sz w:val="32"/>
          <w:szCs w:val="32"/>
        </w:rPr>
        <w:t>核定行政编制数11名、工勤编制数1名。</w:t>
      </w:r>
    </w:p>
    <w:p>
      <w:pPr>
        <w:spacing w:line="560" w:lineRule="exact"/>
        <w:ind w:firstLine="640" w:firstLineChars="200"/>
        <w:rPr>
          <w:rFonts w:ascii="仿宋_GB2312" w:hAnsi="宋体" w:eastAsia="仿宋_GB2312" w:cs="宋体"/>
          <w:kern w:val="0"/>
          <w:sz w:val="32"/>
          <w:szCs w:val="32"/>
        </w:rPr>
      </w:pPr>
      <w:r>
        <w:rPr>
          <w:rFonts w:hint="eastAsia" w:ascii="仿宋_GB2312" w:hAnsi="微软雅黑" w:eastAsia="仿宋_GB2312" w:cs="宋体"/>
          <w:color w:val="000000"/>
          <w:kern w:val="0"/>
          <w:sz w:val="32"/>
          <w:szCs w:val="32"/>
        </w:rPr>
        <w:t>7、吴忠市生态环境局盐池分局</w:t>
      </w:r>
      <w:r>
        <w:rPr>
          <w:rFonts w:hint="eastAsia" w:ascii="仿宋_GB2312" w:hAnsi="宋体" w:eastAsia="仿宋_GB2312" w:cs="宋体"/>
          <w:kern w:val="0"/>
          <w:sz w:val="32"/>
          <w:szCs w:val="32"/>
        </w:rPr>
        <w:t>为吴忠市生态环境局派出的正科级行政机构，</w:t>
      </w:r>
      <w:r>
        <w:rPr>
          <w:rFonts w:hint="eastAsia" w:ascii="仿宋_GB2312" w:hAnsi="仿宋" w:eastAsia="仿宋_GB2312"/>
          <w:sz w:val="32"/>
          <w:szCs w:val="32"/>
        </w:rPr>
        <w:t>隶属吴忠市生态环境局独立的二级预算单位，执行行政单位会计制度。</w:t>
      </w:r>
      <w:r>
        <w:rPr>
          <w:rFonts w:hint="eastAsia" w:ascii="仿宋_GB2312" w:hAnsi="宋体" w:eastAsia="仿宋_GB2312" w:cs="宋体"/>
          <w:kern w:val="0"/>
          <w:sz w:val="32"/>
          <w:szCs w:val="32"/>
        </w:rPr>
        <w:t>按照</w:t>
      </w:r>
      <w:r>
        <w:rPr>
          <w:rFonts w:hint="eastAsia" w:ascii="仿宋_GB2312" w:hAnsi="仿宋" w:eastAsia="仿宋_GB2312"/>
          <w:sz w:val="32"/>
          <w:szCs w:val="32"/>
        </w:rPr>
        <w:t>市委组织部、</w:t>
      </w:r>
      <w:r>
        <w:rPr>
          <w:rFonts w:hint="eastAsia" w:ascii="仿宋_GB2312" w:hAnsi="仿宋" w:eastAsia="仿宋_GB2312"/>
          <w:sz w:val="32"/>
          <w:szCs w:val="32"/>
          <w:lang w:eastAsia="zh-CN"/>
        </w:rPr>
        <w:t>市委机构编制委员会</w:t>
      </w:r>
      <w:r>
        <w:rPr>
          <w:rFonts w:hint="eastAsia" w:ascii="仿宋_GB2312" w:hAnsi="仿宋" w:eastAsia="仿宋_GB2312"/>
          <w:sz w:val="32"/>
          <w:szCs w:val="32"/>
        </w:rPr>
        <w:t>、市人力资源和社会保障局《关于印发&lt;吴忠市生态环境机构垂直管理制度改革机构编制人员划转方案&gt;的通知》（吴组通[2019]112号），</w:t>
      </w:r>
      <w:r>
        <w:rPr>
          <w:rFonts w:hint="eastAsia" w:ascii="仿宋_GB2312" w:hAnsi="宋体" w:eastAsia="仿宋_GB2312" w:cs="宋体"/>
          <w:kern w:val="0"/>
          <w:sz w:val="32"/>
          <w:szCs w:val="32"/>
        </w:rPr>
        <w:t>核定行政编制数5名。</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8、吴忠市生态环境局同心分局</w:t>
      </w:r>
      <w:r>
        <w:rPr>
          <w:rFonts w:hint="eastAsia" w:ascii="仿宋_GB2312" w:hAnsi="宋体" w:eastAsia="仿宋_GB2312" w:cs="宋体"/>
          <w:kern w:val="0"/>
          <w:sz w:val="32"/>
          <w:szCs w:val="32"/>
        </w:rPr>
        <w:t>为吴忠市生态环境局派出的正科级行政机构，</w:t>
      </w:r>
      <w:r>
        <w:rPr>
          <w:rFonts w:hint="eastAsia" w:ascii="仿宋_GB2312" w:hAnsi="仿宋" w:eastAsia="仿宋_GB2312"/>
          <w:sz w:val="32"/>
          <w:szCs w:val="32"/>
        </w:rPr>
        <w:t>隶属吴忠市生态环境局独立的二级预算单位，执行行政单位会计制度。</w:t>
      </w:r>
      <w:r>
        <w:rPr>
          <w:rFonts w:hint="eastAsia" w:ascii="仿宋_GB2312" w:hAnsi="宋体" w:eastAsia="仿宋_GB2312" w:cs="宋体"/>
          <w:kern w:val="0"/>
          <w:sz w:val="32"/>
          <w:szCs w:val="32"/>
        </w:rPr>
        <w:t>按照</w:t>
      </w:r>
      <w:r>
        <w:rPr>
          <w:rFonts w:hint="eastAsia" w:ascii="仿宋_GB2312" w:hAnsi="仿宋" w:eastAsia="仿宋_GB2312"/>
          <w:sz w:val="32"/>
          <w:szCs w:val="32"/>
        </w:rPr>
        <w:t>市委组织部、</w:t>
      </w:r>
      <w:r>
        <w:rPr>
          <w:rFonts w:hint="eastAsia" w:ascii="仿宋_GB2312" w:hAnsi="仿宋" w:eastAsia="仿宋_GB2312"/>
          <w:sz w:val="32"/>
          <w:szCs w:val="32"/>
          <w:lang w:eastAsia="zh-CN"/>
        </w:rPr>
        <w:t>市委机构编制委员会</w:t>
      </w:r>
      <w:r>
        <w:rPr>
          <w:rFonts w:hint="eastAsia" w:ascii="仿宋_GB2312" w:hAnsi="仿宋" w:eastAsia="仿宋_GB2312"/>
          <w:sz w:val="32"/>
          <w:szCs w:val="32"/>
        </w:rPr>
        <w:t>、市人力资源和社会保障局《关于印发&lt;吴忠市生态环境机构垂直管理制度改革机构编制人员划转方案&gt;的通知》（吴组通[2019]112号），</w:t>
      </w:r>
      <w:r>
        <w:rPr>
          <w:rFonts w:hint="eastAsia" w:ascii="仿宋_GB2312" w:hAnsi="宋体" w:eastAsia="仿宋_GB2312" w:cs="宋体"/>
          <w:kern w:val="0"/>
          <w:sz w:val="32"/>
          <w:szCs w:val="32"/>
        </w:rPr>
        <w:t>核定行政编制数5名。</w:t>
      </w:r>
    </w:p>
    <w:p>
      <w:pPr>
        <w:widowControl/>
        <w:spacing w:line="560" w:lineRule="exact"/>
        <w:rPr>
          <w:rFonts w:ascii="仿宋_GB2312" w:hAnsi="仿宋" w:eastAsia="仿宋_GB2312"/>
          <w:sz w:val="32"/>
          <w:szCs w:val="32"/>
        </w:rPr>
        <w:sectPr>
          <w:footerReference r:id="rId3" w:type="default"/>
          <w:pgSz w:w="11906" w:h="16838"/>
          <w:pgMar w:top="2155" w:right="1418" w:bottom="1418" w:left="1418" w:header="851" w:footer="992" w:gutter="0"/>
          <w:cols w:space="720" w:num="1"/>
          <w:docGrid w:type="lines" w:linePitch="312" w:charSpace="0"/>
        </w:sectPr>
      </w:pPr>
      <w:r>
        <w:rPr>
          <w:rFonts w:hint="eastAsia" w:ascii="仿宋_GB2312" w:hAnsi="宋体" w:eastAsia="仿宋_GB2312" w:cs="宋体"/>
          <w:color w:val="000000"/>
          <w:kern w:val="0"/>
          <w:sz w:val="32"/>
          <w:szCs w:val="32"/>
        </w:rPr>
        <w:t xml:space="preserve">   </w:t>
      </w:r>
    </w:p>
    <w:p>
      <w:pPr>
        <w:widowControl/>
        <w:jc w:val="left"/>
        <w:outlineLvl w:val="1"/>
        <w:rPr>
          <w:rFonts w:ascii="仿宋_GB2312" w:hAnsi="宋体" w:eastAsia="仿宋_GB2312"/>
          <w:b/>
          <w:color w:val="000000"/>
          <w:kern w:val="0"/>
          <w:sz w:val="36"/>
          <w:szCs w:val="36"/>
        </w:rPr>
      </w:pPr>
      <w:r>
        <w:rPr>
          <w:rFonts w:hint="eastAsia" w:ascii="仿宋_GB2312" w:hAnsi="宋体" w:eastAsia="仿宋_GB2312"/>
          <w:b/>
          <w:color w:val="000000"/>
          <w:kern w:val="0"/>
          <w:sz w:val="36"/>
          <w:szCs w:val="36"/>
        </w:rPr>
        <w:t>吴忠市生态环境局2021年部门预算——预算表</w:t>
      </w:r>
    </w:p>
    <w:p>
      <w:pPr>
        <w:widowControl/>
        <w:jc w:val="left"/>
        <w:outlineLvl w:val="1"/>
        <w:rPr>
          <w:rFonts w:ascii="仿宋_GB2312" w:hAnsi="宋体" w:eastAsia="仿宋_GB2312"/>
          <w:bCs/>
          <w:color w:val="000000"/>
          <w:kern w:val="0"/>
          <w:sz w:val="24"/>
        </w:rPr>
      </w:pPr>
    </w:p>
    <w:p>
      <w:pPr>
        <w:widowControl/>
        <w:ind w:firstLine="640" w:firstLineChars="200"/>
        <w:outlineLvl w:val="1"/>
        <w:rPr>
          <w:rFonts w:ascii="黑体" w:hAnsi="宋体" w:eastAsia="黑体"/>
          <w:bCs/>
          <w:color w:val="000000"/>
          <w:kern w:val="0"/>
          <w:sz w:val="32"/>
          <w:szCs w:val="32"/>
        </w:rPr>
      </w:pPr>
      <w:r>
        <w:rPr>
          <w:rFonts w:hint="eastAsia" w:ascii="黑体" w:hAnsi="宋体" w:eastAsia="黑体"/>
          <w:bCs/>
          <w:color w:val="000000"/>
          <w:kern w:val="0"/>
          <w:sz w:val="32"/>
          <w:szCs w:val="32"/>
        </w:rPr>
        <w:t>一、财政拨款收支预算总表</w:t>
      </w:r>
    </w:p>
    <w:p>
      <w:pPr>
        <w:widowControl/>
        <w:jc w:val="center"/>
        <w:outlineLvl w:val="1"/>
        <w:rPr>
          <w:rFonts w:ascii="仿宋_GB2312" w:hAnsi="宋体" w:eastAsia="仿宋_GB2312"/>
          <w:b/>
          <w:color w:val="000000"/>
          <w:kern w:val="0"/>
          <w:sz w:val="36"/>
          <w:szCs w:val="36"/>
        </w:rPr>
      </w:pPr>
      <w:r>
        <w:rPr>
          <w:rFonts w:hint="eastAsia" w:ascii="仿宋_GB2312" w:hAnsi="宋体" w:eastAsia="仿宋_GB2312"/>
          <w:b/>
          <w:color w:val="000000"/>
          <w:kern w:val="0"/>
          <w:sz w:val="36"/>
          <w:szCs w:val="36"/>
        </w:rPr>
        <w:t>财政拨款收支预算总表</w:t>
      </w:r>
    </w:p>
    <w:p>
      <w:pPr>
        <w:widowControl/>
        <w:ind w:firstLine="640" w:firstLineChars="200"/>
        <w:outlineLvl w:val="1"/>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 xml:space="preserve">                                                                   单位：万元</w:t>
      </w:r>
    </w:p>
    <w:tbl>
      <w:tblPr>
        <w:tblStyle w:val="8"/>
        <w:tblW w:w="0" w:type="auto"/>
        <w:tblInd w:w="91" w:type="dxa"/>
        <w:tblLayout w:type="fixed"/>
        <w:tblCellMar>
          <w:top w:w="0" w:type="dxa"/>
          <w:left w:w="108" w:type="dxa"/>
          <w:bottom w:w="0" w:type="dxa"/>
          <w:right w:w="108" w:type="dxa"/>
        </w:tblCellMar>
      </w:tblPr>
      <w:tblGrid>
        <w:gridCol w:w="3860"/>
        <w:gridCol w:w="1360"/>
        <w:gridCol w:w="3860"/>
        <w:gridCol w:w="1360"/>
        <w:gridCol w:w="1360"/>
        <w:gridCol w:w="1360"/>
      </w:tblGrid>
      <w:tr>
        <w:tblPrEx>
          <w:tblCellMar>
            <w:top w:w="0" w:type="dxa"/>
            <w:left w:w="108" w:type="dxa"/>
            <w:bottom w:w="0" w:type="dxa"/>
            <w:right w:w="108" w:type="dxa"/>
          </w:tblCellMar>
        </w:tblPrEx>
        <w:trPr>
          <w:trHeight w:val="308" w:hRule="atLeast"/>
        </w:trPr>
        <w:tc>
          <w:tcPr>
            <w:tcW w:w="5220" w:type="dxa"/>
            <w:gridSpan w:val="2"/>
            <w:tcBorders>
              <w:top w:val="single" w:color="000000" w:sz="8" w:space="0"/>
              <w:left w:val="single" w:color="000000" w:sz="8" w:space="0"/>
              <w:bottom w:val="single" w:color="000000" w:sz="4" w:space="0"/>
              <w:right w:val="single" w:color="000000" w:sz="4" w:space="0"/>
            </w:tcBorders>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收     入</w:t>
            </w:r>
          </w:p>
        </w:tc>
        <w:tc>
          <w:tcPr>
            <w:tcW w:w="7940" w:type="dxa"/>
            <w:gridSpan w:val="4"/>
            <w:tcBorders>
              <w:top w:val="single" w:color="000000" w:sz="8" w:space="0"/>
              <w:left w:val="nil"/>
              <w:bottom w:val="single" w:color="000000" w:sz="4" w:space="0"/>
              <w:right w:val="single" w:color="000000" w:sz="4" w:space="0"/>
            </w:tcBorders>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支     出</w:t>
            </w:r>
          </w:p>
        </w:tc>
      </w:tr>
      <w:tr>
        <w:tblPrEx>
          <w:tblCellMar>
            <w:top w:w="0" w:type="dxa"/>
            <w:left w:w="108" w:type="dxa"/>
            <w:bottom w:w="0" w:type="dxa"/>
            <w:right w:w="108" w:type="dxa"/>
          </w:tblCellMar>
        </w:tblPrEx>
        <w:trPr>
          <w:trHeight w:val="315" w:hRule="atLeast"/>
        </w:trPr>
        <w:tc>
          <w:tcPr>
            <w:tcW w:w="3860" w:type="dxa"/>
            <w:vMerge w:val="restart"/>
            <w:tcBorders>
              <w:top w:val="nil"/>
              <w:left w:val="single" w:color="000000" w:sz="8" w:space="0"/>
              <w:bottom w:val="single" w:color="000000" w:sz="4" w:space="0"/>
              <w:right w:val="single" w:color="000000" w:sz="4" w:space="0"/>
            </w:tcBorders>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项    目</w:t>
            </w:r>
          </w:p>
        </w:tc>
        <w:tc>
          <w:tcPr>
            <w:tcW w:w="1360" w:type="dxa"/>
            <w:vMerge w:val="restart"/>
            <w:tcBorders>
              <w:top w:val="nil"/>
              <w:left w:val="nil"/>
              <w:bottom w:val="single" w:color="000000" w:sz="4" w:space="0"/>
              <w:right w:val="single" w:color="000000" w:sz="4" w:space="0"/>
            </w:tcBorders>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预算数</w:t>
            </w:r>
          </w:p>
        </w:tc>
        <w:tc>
          <w:tcPr>
            <w:tcW w:w="3860" w:type="dxa"/>
            <w:vMerge w:val="restart"/>
            <w:tcBorders>
              <w:top w:val="nil"/>
              <w:left w:val="nil"/>
              <w:bottom w:val="single" w:color="000000" w:sz="4" w:space="0"/>
              <w:right w:val="single" w:color="000000" w:sz="4" w:space="0"/>
            </w:tcBorders>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项目（按功能分类）</w:t>
            </w:r>
          </w:p>
        </w:tc>
        <w:tc>
          <w:tcPr>
            <w:tcW w:w="4080"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预算数</w:t>
            </w:r>
          </w:p>
        </w:tc>
      </w:tr>
      <w:tr>
        <w:tblPrEx>
          <w:tblCellMar>
            <w:top w:w="0" w:type="dxa"/>
            <w:left w:w="108" w:type="dxa"/>
            <w:bottom w:w="0" w:type="dxa"/>
            <w:right w:w="108" w:type="dxa"/>
          </w:tblCellMar>
        </w:tblPrEx>
        <w:trPr>
          <w:trHeight w:val="1005" w:hRule="atLeast"/>
        </w:trPr>
        <w:tc>
          <w:tcPr>
            <w:tcW w:w="3860" w:type="dxa"/>
            <w:vMerge w:val="continue"/>
            <w:tcBorders>
              <w:top w:val="nil"/>
              <w:left w:val="single" w:color="000000" w:sz="8" w:space="0"/>
              <w:bottom w:val="single" w:color="000000" w:sz="4" w:space="0"/>
              <w:right w:val="single" w:color="000000" w:sz="4" w:space="0"/>
            </w:tcBorders>
            <w:vAlign w:val="center"/>
          </w:tcPr>
          <w:p>
            <w:pPr>
              <w:widowControl/>
              <w:jc w:val="left"/>
              <w:rPr>
                <w:rFonts w:ascii="宋体" w:hAnsi="宋体" w:cs="Arial"/>
                <w:b/>
                <w:color w:val="000000"/>
                <w:kern w:val="0"/>
                <w:sz w:val="22"/>
                <w:szCs w:val="22"/>
              </w:rPr>
            </w:pPr>
          </w:p>
        </w:tc>
        <w:tc>
          <w:tcPr>
            <w:tcW w:w="1360"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color w:val="000000"/>
                <w:kern w:val="0"/>
                <w:sz w:val="22"/>
                <w:szCs w:val="22"/>
              </w:rPr>
            </w:pPr>
          </w:p>
        </w:tc>
        <w:tc>
          <w:tcPr>
            <w:tcW w:w="3860" w:type="dxa"/>
            <w:vMerge w:val="continue"/>
            <w:tcBorders>
              <w:top w:val="nil"/>
              <w:left w:val="nil"/>
              <w:bottom w:val="single" w:color="000000" w:sz="4" w:space="0"/>
              <w:right w:val="single" w:color="000000" w:sz="4" w:space="0"/>
            </w:tcBorders>
            <w:vAlign w:val="center"/>
          </w:tcPr>
          <w:p>
            <w:pPr>
              <w:widowControl/>
              <w:jc w:val="left"/>
              <w:rPr>
                <w:rFonts w:ascii="宋体" w:hAnsi="宋体" w:cs="Arial"/>
                <w:b/>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cs="Arial"/>
                <w:b/>
                <w:color w:val="000000"/>
                <w:kern w:val="0"/>
                <w:sz w:val="22"/>
                <w:szCs w:val="22"/>
              </w:rPr>
            </w:pPr>
            <w:r>
              <w:rPr>
                <w:rFonts w:hint="eastAsia" w:ascii="宋体" w:hAnsi="宋体" w:cs="Arial"/>
                <w:b/>
                <w:color w:val="000000"/>
                <w:kern w:val="0"/>
                <w:sz w:val="22"/>
                <w:szCs w:val="22"/>
              </w:rPr>
              <w:t>小计</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cs="Arial"/>
                <w:b/>
                <w:color w:val="000000"/>
                <w:kern w:val="0"/>
                <w:sz w:val="22"/>
                <w:szCs w:val="22"/>
                <w:highlight w:val="yellow"/>
              </w:rPr>
            </w:pPr>
            <w:r>
              <w:rPr>
                <w:rFonts w:hint="eastAsia" w:ascii="宋体" w:hAnsi="宋体" w:cs="Arial"/>
                <w:b/>
                <w:color w:val="000000"/>
                <w:kern w:val="0"/>
                <w:sz w:val="22"/>
                <w:szCs w:val="22"/>
              </w:rPr>
              <w:t>一般公共预算财政拨款支出</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cs="Arial"/>
                <w:b/>
                <w:color w:val="000000"/>
                <w:kern w:val="0"/>
                <w:sz w:val="22"/>
                <w:szCs w:val="22"/>
                <w:highlight w:val="yellow"/>
              </w:rPr>
            </w:pPr>
            <w:r>
              <w:rPr>
                <w:rFonts w:hint="eastAsia" w:ascii="宋体" w:hAnsi="宋体" w:cs="Arial"/>
                <w:b/>
                <w:color w:val="000000"/>
                <w:kern w:val="0"/>
                <w:sz w:val="22"/>
                <w:szCs w:val="22"/>
              </w:rPr>
              <w:t>政府性基金预算财政拨款支出</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b/>
                <w:bCs/>
                <w:color w:val="000000"/>
                <w:kern w:val="0"/>
                <w:sz w:val="22"/>
                <w:szCs w:val="22"/>
              </w:rPr>
            </w:pPr>
            <w:r>
              <w:rPr>
                <w:rFonts w:hint="eastAsia" w:ascii="宋体" w:hAnsi="宋体" w:cs="Arial"/>
                <w:b/>
                <w:bCs/>
                <w:color w:val="000000"/>
                <w:kern w:val="0"/>
                <w:sz w:val="22"/>
                <w:szCs w:val="22"/>
              </w:rPr>
              <w:t>一、本年收入</w:t>
            </w:r>
          </w:p>
        </w:tc>
        <w:tc>
          <w:tcPr>
            <w:tcW w:w="1360" w:type="dxa"/>
            <w:tcBorders>
              <w:top w:val="nil"/>
              <w:left w:val="nil"/>
              <w:bottom w:val="single" w:color="000000" w:sz="4" w:space="0"/>
              <w:right w:val="single" w:color="000000" w:sz="4" w:space="0"/>
            </w:tcBorders>
            <w:vAlign w:val="center"/>
          </w:tcPr>
          <w:p>
            <w:pPr>
              <w:widowControl/>
              <w:jc w:val="right"/>
              <w:textAlignment w:val="center"/>
              <w:rPr>
                <w:rFonts w:ascii="宋体" w:hAnsi="宋体" w:cs="Arial"/>
                <w:color w:val="000000"/>
                <w:kern w:val="0"/>
                <w:sz w:val="22"/>
                <w:szCs w:val="22"/>
              </w:rPr>
            </w:pPr>
            <w:r>
              <w:rPr>
                <w:rFonts w:hint="eastAsia" w:ascii="宋体" w:hAnsi="宋体" w:cs="宋体"/>
                <w:color w:val="000000"/>
                <w:kern w:val="0"/>
                <w:sz w:val="18"/>
                <w:szCs w:val="18"/>
              </w:rPr>
              <w:t>2,971.25</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b/>
                <w:bCs/>
                <w:color w:val="000000"/>
                <w:kern w:val="0"/>
                <w:sz w:val="22"/>
                <w:szCs w:val="22"/>
              </w:rPr>
            </w:pPr>
            <w:r>
              <w:rPr>
                <w:rFonts w:hint="eastAsia" w:ascii="宋体" w:hAnsi="宋体" w:cs="Arial"/>
                <w:b/>
                <w:bCs/>
                <w:color w:val="000000"/>
                <w:kern w:val="0"/>
                <w:sz w:val="22"/>
                <w:szCs w:val="22"/>
              </w:rPr>
              <w:t>一、本年支出</w:t>
            </w:r>
          </w:p>
        </w:tc>
        <w:tc>
          <w:tcPr>
            <w:tcW w:w="1360" w:type="dxa"/>
            <w:tcBorders>
              <w:top w:val="nil"/>
              <w:left w:val="nil"/>
              <w:bottom w:val="single" w:color="000000" w:sz="4" w:space="0"/>
              <w:right w:val="single" w:color="000000" w:sz="4" w:space="0"/>
            </w:tcBorders>
            <w:vAlign w:val="center"/>
          </w:tcPr>
          <w:p>
            <w:pPr>
              <w:widowControl/>
              <w:jc w:val="right"/>
              <w:textAlignment w:val="center"/>
              <w:rPr>
                <w:rFonts w:ascii="宋体" w:hAnsi="宋体" w:cs="Arial"/>
                <w:color w:val="000000"/>
                <w:kern w:val="0"/>
                <w:sz w:val="22"/>
                <w:szCs w:val="22"/>
              </w:rPr>
            </w:pPr>
            <w:r>
              <w:rPr>
                <w:rFonts w:hint="eastAsia" w:ascii="宋体" w:hAnsi="宋体" w:cs="宋体"/>
                <w:color w:val="000000"/>
                <w:kern w:val="0"/>
                <w:sz w:val="18"/>
                <w:szCs w:val="18"/>
              </w:rPr>
              <w:t>2,971.25</w:t>
            </w:r>
          </w:p>
        </w:tc>
        <w:tc>
          <w:tcPr>
            <w:tcW w:w="1360" w:type="dxa"/>
            <w:tcBorders>
              <w:top w:val="nil"/>
              <w:left w:val="nil"/>
              <w:bottom w:val="single" w:color="000000" w:sz="4" w:space="0"/>
              <w:right w:val="single" w:color="000000" w:sz="4" w:space="0"/>
            </w:tcBorders>
            <w:vAlign w:val="center"/>
          </w:tcPr>
          <w:p>
            <w:pPr>
              <w:widowControl/>
              <w:jc w:val="right"/>
              <w:textAlignment w:val="center"/>
              <w:rPr>
                <w:rFonts w:ascii="宋体" w:hAnsi="宋体" w:cs="Arial"/>
                <w:color w:val="000000"/>
                <w:kern w:val="0"/>
                <w:sz w:val="22"/>
                <w:szCs w:val="22"/>
              </w:rPr>
            </w:pPr>
            <w:r>
              <w:rPr>
                <w:rFonts w:hint="eastAsia" w:ascii="宋体" w:hAnsi="宋体" w:cs="宋体"/>
                <w:color w:val="000000"/>
                <w:kern w:val="0"/>
                <w:sz w:val="18"/>
                <w:szCs w:val="18"/>
              </w:rPr>
              <w:t>2971.25</w:t>
            </w:r>
          </w:p>
        </w:tc>
        <w:tc>
          <w:tcPr>
            <w:tcW w:w="13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（一）一般公共预算财政拨款收入</w:t>
            </w:r>
          </w:p>
        </w:tc>
        <w:tc>
          <w:tcPr>
            <w:tcW w:w="1360" w:type="dxa"/>
            <w:tcBorders>
              <w:top w:val="nil"/>
              <w:left w:val="nil"/>
              <w:bottom w:val="single" w:color="000000" w:sz="4" w:space="0"/>
              <w:right w:val="single" w:color="000000" w:sz="4" w:space="0"/>
            </w:tcBorders>
            <w:vAlign w:val="center"/>
          </w:tcPr>
          <w:p>
            <w:pPr>
              <w:widowControl/>
              <w:jc w:val="right"/>
              <w:textAlignment w:val="center"/>
              <w:rPr>
                <w:rFonts w:ascii="宋体" w:hAnsi="宋体" w:cs="Arial"/>
                <w:color w:val="000000"/>
                <w:kern w:val="0"/>
                <w:sz w:val="22"/>
                <w:szCs w:val="22"/>
              </w:rPr>
            </w:pPr>
            <w:r>
              <w:rPr>
                <w:rFonts w:hint="eastAsia" w:ascii="宋体" w:hAnsi="宋体" w:cs="宋体"/>
                <w:color w:val="000000"/>
                <w:kern w:val="0"/>
                <w:sz w:val="18"/>
                <w:szCs w:val="18"/>
              </w:rPr>
              <w:t>2,971.25</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（一）一般公共服务支出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（二）政府性基金预算财政拨款收入</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（二）外交支出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（三）国防支出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（四）公共安全支出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（五）教育支出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（六）科学技术支出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（七）文化旅游体育与传媒支出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single" w:color="auto"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single" w:color="auto" w:sz="4"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（八）社会保障和就业支出</w:t>
            </w:r>
          </w:p>
        </w:tc>
        <w:tc>
          <w:tcPr>
            <w:tcW w:w="1360" w:type="dxa"/>
            <w:tcBorders>
              <w:top w:val="single" w:color="auto" w:sz="4" w:space="0"/>
              <w:left w:val="nil"/>
              <w:bottom w:val="single" w:color="000000" w:sz="4" w:space="0"/>
              <w:right w:val="single" w:color="000000" w:sz="4" w:space="0"/>
            </w:tcBorders>
            <w:vAlign w:val="center"/>
          </w:tcPr>
          <w:p>
            <w:pPr>
              <w:widowControl/>
              <w:jc w:val="right"/>
              <w:textAlignment w:val="center"/>
              <w:rPr>
                <w:rFonts w:ascii="宋体" w:hAnsi="宋体" w:cs="Arial"/>
                <w:color w:val="000000"/>
                <w:kern w:val="0"/>
                <w:sz w:val="22"/>
                <w:szCs w:val="22"/>
              </w:rPr>
            </w:pPr>
            <w:r>
              <w:rPr>
                <w:rFonts w:hint="eastAsia" w:ascii="宋体" w:hAnsi="宋体" w:cs="宋体"/>
                <w:color w:val="000000"/>
                <w:kern w:val="0"/>
                <w:sz w:val="18"/>
                <w:szCs w:val="18"/>
              </w:rPr>
              <w:t>214.11</w:t>
            </w:r>
          </w:p>
        </w:tc>
        <w:tc>
          <w:tcPr>
            <w:tcW w:w="1360" w:type="dxa"/>
            <w:tcBorders>
              <w:top w:val="single" w:color="auto" w:sz="4" w:space="0"/>
              <w:left w:val="nil"/>
              <w:bottom w:val="single" w:color="000000" w:sz="4" w:space="0"/>
              <w:right w:val="single" w:color="000000" w:sz="4" w:space="0"/>
            </w:tcBorders>
            <w:vAlign w:val="center"/>
          </w:tcPr>
          <w:p>
            <w:pPr>
              <w:widowControl/>
              <w:jc w:val="right"/>
              <w:textAlignment w:val="center"/>
              <w:rPr>
                <w:rFonts w:ascii="宋体" w:hAnsi="宋体" w:cs="Arial"/>
                <w:color w:val="000000"/>
                <w:kern w:val="0"/>
                <w:sz w:val="22"/>
                <w:szCs w:val="22"/>
              </w:rPr>
            </w:pPr>
            <w:r>
              <w:rPr>
                <w:rFonts w:hint="eastAsia" w:ascii="宋体" w:hAnsi="宋体" w:cs="宋体"/>
                <w:color w:val="000000"/>
                <w:kern w:val="0"/>
                <w:sz w:val="18"/>
                <w:szCs w:val="18"/>
              </w:rPr>
              <w:t>214.11</w:t>
            </w:r>
          </w:p>
        </w:tc>
        <w:tc>
          <w:tcPr>
            <w:tcW w:w="1360" w:type="dxa"/>
            <w:tcBorders>
              <w:top w:val="single" w:color="auto" w:sz="4" w:space="0"/>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（九）卫生健康支出</w:t>
            </w:r>
          </w:p>
        </w:tc>
        <w:tc>
          <w:tcPr>
            <w:tcW w:w="1360" w:type="dxa"/>
            <w:tcBorders>
              <w:top w:val="nil"/>
              <w:left w:val="nil"/>
              <w:bottom w:val="single" w:color="000000" w:sz="4" w:space="0"/>
              <w:right w:val="single" w:color="000000" w:sz="4" w:space="0"/>
            </w:tcBorders>
            <w:vAlign w:val="center"/>
          </w:tcPr>
          <w:p>
            <w:pPr>
              <w:widowControl/>
              <w:jc w:val="right"/>
              <w:textAlignment w:val="center"/>
              <w:rPr>
                <w:rFonts w:ascii="宋体" w:hAnsi="宋体" w:cs="Arial"/>
                <w:color w:val="000000"/>
                <w:kern w:val="0"/>
                <w:sz w:val="22"/>
                <w:szCs w:val="22"/>
              </w:rPr>
            </w:pPr>
            <w:r>
              <w:rPr>
                <w:rFonts w:hint="eastAsia" w:ascii="宋体" w:hAnsi="宋体" w:cs="宋体"/>
                <w:color w:val="000000"/>
                <w:kern w:val="0"/>
                <w:sz w:val="18"/>
                <w:szCs w:val="18"/>
              </w:rPr>
              <w:t>126.80</w:t>
            </w:r>
          </w:p>
        </w:tc>
        <w:tc>
          <w:tcPr>
            <w:tcW w:w="1360" w:type="dxa"/>
            <w:tcBorders>
              <w:top w:val="nil"/>
              <w:left w:val="nil"/>
              <w:bottom w:val="single" w:color="000000" w:sz="4" w:space="0"/>
              <w:right w:val="single" w:color="000000" w:sz="4" w:space="0"/>
            </w:tcBorders>
            <w:vAlign w:val="center"/>
          </w:tcPr>
          <w:p>
            <w:pPr>
              <w:widowControl/>
              <w:jc w:val="right"/>
              <w:textAlignment w:val="center"/>
              <w:rPr>
                <w:rFonts w:ascii="宋体" w:hAnsi="宋体" w:cs="Arial"/>
                <w:color w:val="000000"/>
                <w:kern w:val="0"/>
                <w:sz w:val="22"/>
                <w:szCs w:val="22"/>
              </w:rPr>
            </w:pPr>
            <w:r>
              <w:rPr>
                <w:rFonts w:hint="eastAsia" w:ascii="宋体" w:hAnsi="宋体" w:cs="宋体"/>
                <w:color w:val="000000"/>
                <w:kern w:val="0"/>
                <w:sz w:val="18"/>
                <w:szCs w:val="18"/>
              </w:rPr>
              <w:t>126.80</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（十）节能环保支出</w:t>
            </w:r>
          </w:p>
        </w:tc>
        <w:tc>
          <w:tcPr>
            <w:tcW w:w="1360" w:type="dxa"/>
            <w:tcBorders>
              <w:top w:val="nil"/>
              <w:left w:val="nil"/>
              <w:bottom w:val="single" w:color="000000" w:sz="4" w:space="0"/>
              <w:right w:val="single" w:color="000000" w:sz="4" w:space="0"/>
            </w:tcBorders>
            <w:vAlign w:val="center"/>
          </w:tcPr>
          <w:p>
            <w:pPr>
              <w:widowControl/>
              <w:jc w:val="right"/>
              <w:textAlignment w:val="center"/>
              <w:rPr>
                <w:rFonts w:ascii="宋体" w:hAnsi="宋体" w:cs="Arial"/>
                <w:color w:val="000000"/>
                <w:kern w:val="0"/>
                <w:sz w:val="22"/>
                <w:szCs w:val="22"/>
              </w:rPr>
            </w:pPr>
            <w:r>
              <w:rPr>
                <w:rFonts w:hint="eastAsia" w:ascii="宋体" w:hAnsi="宋体" w:cs="宋体"/>
                <w:color w:val="000000"/>
                <w:kern w:val="0"/>
                <w:sz w:val="18"/>
                <w:szCs w:val="18"/>
              </w:rPr>
              <w:t>2764.64</w:t>
            </w:r>
          </w:p>
        </w:tc>
        <w:tc>
          <w:tcPr>
            <w:tcW w:w="1360" w:type="dxa"/>
            <w:tcBorders>
              <w:top w:val="nil"/>
              <w:left w:val="nil"/>
              <w:bottom w:val="single" w:color="000000" w:sz="4" w:space="0"/>
              <w:right w:val="single" w:color="000000" w:sz="4" w:space="0"/>
            </w:tcBorders>
            <w:vAlign w:val="center"/>
          </w:tcPr>
          <w:p>
            <w:pPr>
              <w:widowControl/>
              <w:jc w:val="right"/>
              <w:textAlignment w:val="center"/>
              <w:rPr>
                <w:rFonts w:ascii="宋体" w:hAnsi="宋体" w:cs="Arial"/>
                <w:color w:val="000000"/>
                <w:kern w:val="0"/>
                <w:sz w:val="22"/>
                <w:szCs w:val="22"/>
              </w:rPr>
            </w:pPr>
            <w:r>
              <w:rPr>
                <w:rFonts w:hint="eastAsia" w:ascii="宋体" w:hAnsi="宋体" w:cs="宋体"/>
                <w:color w:val="000000"/>
                <w:kern w:val="0"/>
                <w:sz w:val="18"/>
                <w:szCs w:val="18"/>
              </w:rPr>
              <w:t>2764.64</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（十一）城乡社区支出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（十二）农林水支出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（十三）交通运输支出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（十四）资源勘探信息等支出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（十五）商业服务业等支出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90"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（十六）金融支出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（十七）自然资源海洋气象等支出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（十八）住房保障支出</w:t>
            </w:r>
          </w:p>
        </w:tc>
        <w:tc>
          <w:tcPr>
            <w:tcW w:w="1360" w:type="dxa"/>
            <w:tcBorders>
              <w:top w:val="nil"/>
              <w:left w:val="nil"/>
              <w:bottom w:val="single" w:color="000000" w:sz="4" w:space="0"/>
              <w:right w:val="single" w:color="000000" w:sz="4" w:space="0"/>
            </w:tcBorders>
            <w:vAlign w:val="center"/>
          </w:tcPr>
          <w:p>
            <w:pPr>
              <w:widowControl/>
              <w:jc w:val="right"/>
              <w:textAlignment w:val="center"/>
              <w:rPr>
                <w:rFonts w:ascii="宋体" w:hAnsi="宋体" w:cs="Arial"/>
                <w:color w:val="000000"/>
                <w:kern w:val="0"/>
                <w:sz w:val="22"/>
                <w:szCs w:val="22"/>
              </w:rPr>
            </w:pPr>
            <w:r>
              <w:rPr>
                <w:rFonts w:hint="eastAsia" w:ascii="宋体" w:hAnsi="宋体" w:cs="宋体"/>
                <w:color w:val="000000"/>
                <w:kern w:val="0"/>
                <w:sz w:val="18"/>
                <w:szCs w:val="18"/>
              </w:rPr>
              <w:t>108.25</w:t>
            </w:r>
          </w:p>
        </w:tc>
        <w:tc>
          <w:tcPr>
            <w:tcW w:w="1360" w:type="dxa"/>
            <w:tcBorders>
              <w:top w:val="nil"/>
              <w:left w:val="nil"/>
              <w:bottom w:val="single" w:color="000000" w:sz="4" w:space="0"/>
              <w:right w:val="single" w:color="000000" w:sz="4" w:space="0"/>
            </w:tcBorders>
            <w:vAlign w:val="center"/>
          </w:tcPr>
          <w:p>
            <w:pPr>
              <w:widowControl/>
              <w:jc w:val="right"/>
              <w:textAlignment w:val="center"/>
              <w:rPr>
                <w:rFonts w:ascii="宋体" w:hAnsi="宋体" w:cs="Arial"/>
                <w:color w:val="000000"/>
                <w:kern w:val="0"/>
                <w:sz w:val="22"/>
                <w:szCs w:val="22"/>
              </w:rPr>
            </w:pPr>
            <w:r>
              <w:rPr>
                <w:rFonts w:hint="eastAsia" w:ascii="宋体" w:hAnsi="宋体" w:cs="宋体"/>
                <w:color w:val="000000"/>
                <w:kern w:val="0"/>
                <w:sz w:val="18"/>
                <w:szCs w:val="18"/>
              </w:rPr>
              <w:t>108.25</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（十九）粮油物资储备支出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（二十）灾害防治及应急管理支出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（二十一）其他支出</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b/>
                <w:bCs/>
                <w:color w:val="000000"/>
                <w:kern w:val="0"/>
                <w:sz w:val="22"/>
                <w:szCs w:val="22"/>
              </w:rPr>
            </w:pPr>
            <w:r>
              <w:rPr>
                <w:rFonts w:hint="eastAsia" w:ascii="宋体" w:hAnsi="宋体" w:cs="Arial"/>
                <w:b/>
                <w:bCs/>
                <w:color w:val="000000"/>
                <w:kern w:val="0"/>
                <w:sz w:val="22"/>
                <w:szCs w:val="22"/>
              </w:rPr>
              <w:t>二、上年结转结余</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b/>
                <w:bCs/>
                <w:color w:val="000000"/>
                <w:kern w:val="0"/>
                <w:sz w:val="22"/>
                <w:szCs w:val="22"/>
              </w:rPr>
            </w:pPr>
            <w:r>
              <w:rPr>
                <w:rFonts w:hint="eastAsia" w:ascii="宋体" w:hAnsi="宋体" w:cs="Arial"/>
                <w:b/>
                <w:bCs/>
                <w:color w:val="000000"/>
                <w:kern w:val="0"/>
                <w:sz w:val="22"/>
                <w:szCs w:val="22"/>
              </w:rPr>
              <w:t>　二、年末结转结余</w:t>
            </w:r>
          </w:p>
        </w:tc>
        <w:tc>
          <w:tcPr>
            <w:tcW w:w="1360" w:type="dxa"/>
            <w:tcBorders>
              <w:top w:val="nil"/>
              <w:left w:val="nil"/>
              <w:bottom w:val="single" w:color="000000" w:sz="4" w:space="0"/>
              <w:right w:val="single" w:color="000000" w:sz="4" w:space="0"/>
            </w:tcBorders>
            <w:vAlign w:val="center"/>
          </w:tcPr>
          <w:p>
            <w:pPr>
              <w:widowControl/>
              <w:jc w:val="right"/>
              <w:textAlignment w:val="center"/>
              <w:rPr>
                <w:rFonts w:ascii="宋体" w:hAnsi="宋体" w:cs="Arial"/>
                <w:color w:val="000000"/>
                <w:kern w:val="0"/>
                <w:sz w:val="22"/>
                <w:szCs w:val="22"/>
              </w:rPr>
            </w:pPr>
            <w:r>
              <w:rPr>
                <w:rFonts w:hint="eastAsia" w:ascii="宋体" w:hAnsi="宋体" w:cs="宋体"/>
                <w:color w:val="000000"/>
                <w:kern w:val="0"/>
                <w:sz w:val="18"/>
                <w:szCs w:val="18"/>
              </w:rPr>
              <w:t>-242.56</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（一）一般公共预算财政拨款</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（一）一般公共预算财政拨款</w:t>
            </w:r>
          </w:p>
        </w:tc>
        <w:tc>
          <w:tcPr>
            <w:tcW w:w="1360" w:type="dxa"/>
            <w:tcBorders>
              <w:top w:val="nil"/>
              <w:left w:val="nil"/>
              <w:bottom w:val="nil"/>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textAlignment w:val="center"/>
              <w:rPr>
                <w:rFonts w:ascii="宋体" w:hAnsi="宋体" w:cs="Arial"/>
                <w:color w:val="000000"/>
                <w:kern w:val="0"/>
                <w:sz w:val="22"/>
                <w:szCs w:val="22"/>
              </w:rPr>
            </w:pPr>
            <w:r>
              <w:rPr>
                <w:rFonts w:hint="eastAsia" w:ascii="宋体" w:hAnsi="宋体" w:cs="宋体"/>
                <w:color w:val="000000"/>
                <w:kern w:val="0"/>
                <w:sz w:val="18"/>
                <w:szCs w:val="18"/>
              </w:rPr>
              <w:t>-242.56</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（二）政府性基金预算财政拨款</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860" w:type="dxa"/>
            <w:tcBorders>
              <w:top w:val="nil"/>
              <w:left w:val="nil"/>
              <w:bottom w:val="single" w:color="000000" w:sz="4" w:space="0"/>
              <w:right w:val="nil"/>
            </w:tcBorders>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（二）政府性基金预算财政拨款</w:t>
            </w:r>
          </w:p>
        </w:tc>
        <w:tc>
          <w:tcPr>
            <w:tcW w:w="136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60" w:type="dxa"/>
            <w:tcBorders>
              <w:top w:val="nil"/>
              <w:left w:val="nil"/>
              <w:bottom w:val="single" w:color="000000" w:sz="4" w:space="0"/>
              <w:right w:val="single" w:color="000000" w:sz="4" w:space="0"/>
            </w:tcBorders>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05" w:hRule="atLeast"/>
        </w:trPr>
        <w:tc>
          <w:tcPr>
            <w:tcW w:w="3860" w:type="dxa"/>
            <w:tcBorders>
              <w:top w:val="nil"/>
              <w:left w:val="single" w:color="000000" w:sz="8" w:space="0"/>
              <w:bottom w:val="single" w:color="000000" w:sz="8" w:space="0"/>
              <w:right w:val="single" w:color="000000" w:sz="4" w:space="0"/>
            </w:tcBorders>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收入总计</w:t>
            </w:r>
          </w:p>
        </w:tc>
        <w:tc>
          <w:tcPr>
            <w:tcW w:w="1360" w:type="dxa"/>
            <w:tcBorders>
              <w:top w:val="nil"/>
              <w:left w:val="nil"/>
              <w:bottom w:val="single" w:color="000000" w:sz="8" w:space="0"/>
              <w:right w:val="single" w:color="000000" w:sz="4" w:space="0"/>
            </w:tcBorders>
            <w:vAlign w:val="center"/>
          </w:tcPr>
          <w:p>
            <w:pPr>
              <w:widowControl/>
              <w:jc w:val="right"/>
              <w:textAlignment w:val="center"/>
              <w:rPr>
                <w:rFonts w:ascii="宋体" w:hAnsi="宋体" w:cs="Arial"/>
                <w:color w:val="000000"/>
                <w:kern w:val="0"/>
                <w:sz w:val="22"/>
                <w:szCs w:val="22"/>
              </w:rPr>
            </w:pPr>
            <w:r>
              <w:rPr>
                <w:rFonts w:hint="eastAsia" w:ascii="宋体" w:hAnsi="宋体" w:cs="宋体"/>
                <w:color w:val="000000"/>
                <w:kern w:val="0"/>
                <w:sz w:val="18"/>
                <w:szCs w:val="18"/>
              </w:rPr>
              <w:t>2,971.25</w:t>
            </w:r>
          </w:p>
        </w:tc>
        <w:tc>
          <w:tcPr>
            <w:tcW w:w="3860" w:type="dxa"/>
            <w:tcBorders>
              <w:top w:val="single" w:color="000000" w:sz="4" w:space="0"/>
              <w:left w:val="nil"/>
              <w:bottom w:val="single" w:color="000000" w:sz="8" w:space="0"/>
              <w:right w:val="single" w:color="000000" w:sz="4" w:space="0"/>
            </w:tcBorders>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支出总计</w:t>
            </w:r>
          </w:p>
        </w:tc>
        <w:tc>
          <w:tcPr>
            <w:tcW w:w="1360" w:type="dxa"/>
            <w:tcBorders>
              <w:top w:val="single" w:color="000000" w:sz="4" w:space="0"/>
              <w:left w:val="nil"/>
              <w:bottom w:val="single" w:color="000000" w:sz="8" w:space="0"/>
              <w:right w:val="single" w:color="000000" w:sz="4" w:space="0"/>
            </w:tcBorders>
            <w:vAlign w:val="center"/>
          </w:tcPr>
          <w:p>
            <w:pPr>
              <w:widowControl/>
              <w:jc w:val="right"/>
              <w:textAlignment w:val="center"/>
              <w:rPr>
                <w:rFonts w:ascii="宋体" w:hAnsi="宋体" w:cs="Arial"/>
                <w:b/>
                <w:bCs/>
                <w:color w:val="000000"/>
                <w:kern w:val="0"/>
                <w:sz w:val="22"/>
                <w:szCs w:val="22"/>
              </w:rPr>
            </w:pPr>
            <w:r>
              <w:rPr>
                <w:rFonts w:hint="eastAsia" w:ascii="宋体" w:hAnsi="宋体" w:cs="宋体"/>
                <w:color w:val="000000"/>
                <w:kern w:val="0"/>
                <w:sz w:val="18"/>
                <w:szCs w:val="18"/>
              </w:rPr>
              <w:t>2,971.25</w:t>
            </w:r>
          </w:p>
        </w:tc>
        <w:tc>
          <w:tcPr>
            <w:tcW w:w="1360" w:type="dxa"/>
            <w:tcBorders>
              <w:top w:val="single" w:color="000000" w:sz="4" w:space="0"/>
              <w:left w:val="nil"/>
              <w:bottom w:val="single" w:color="000000" w:sz="8" w:space="0"/>
              <w:right w:val="single" w:color="000000" w:sz="4" w:space="0"/>
            </w:tcBorders>
            <w:vAlign w:val="center"/>
          </w:tcPr>
          <w:p>
            <w:pPr>
              <w:widowControl/>
              <w:jc w:val="right"/>
              <w:textAlignment w:val="center"/>
              <w:rPr>
                <w:rFonts w:ascii="宋体" w:hAnsi="宋体" w:cs="Arial"/>
                <w:b/>
                <w:bCs/>
                <w:color w:val="000000"/>
                <w:kern w:val="0"/>
                <w:sz w:val="22"/>
                <w:szCs w:val="22"/>
              </w:rPr>
            </w:pPr>
            <w:r>
              <w:rPr>
                <w:rFonts w:hint="eastAsia" w:ascii="宋体" w:hAnsi="宋体" w:cs="宋体"/>
                <w:color w:val="000000"/>
                <w:kern w:val="0"/>
                <w:sz w:val="18"/>
                <w:szCs w:val="18"/>
              </w:rPr>
              <w:t>2,971.25</w:t>
            </w:r>
          </w:p>
        </w:tc>
        <w:tc>
          <w:tcPr>
            <w:tcW w:w="1360" w:type="dxa"/>
            <w:tcBorders>
              <w:top w:val="single" w:color="000000" w:sz="4" w:space="0"/>
              <w:left w:val="nil"/>
              <w:bottom w:val="single" w:color="000000" w:sz="8" w:space="0"/>
              <w:right w:val="single" w:color="000000" w:sz="4" w:space="0"/>
            </w:tcBorders>
            <w:vAlign w:val="center"/>
          </w:tcPr>
          <w:p>
            <w:pPr>
              <w:widowControl/>
              <w:jc w:val="center"/>
              <w:rPr>
                <w:rFonts w:ascii="宋体" w:hAnsi="宋体" w:cs="Arial"/>
                <w:b/>
                <w:bCs/>
                <w:color w:val="000000"/>
                <w:kern w:val="0"/>
                <w:sz w:val="22"/>
                <w:szCs w:val="22"/>
              </w:rPr>
            </w:pPr>
          </w:p>
        </w:tc>
      </w:tr>
    </w:tbl>
    <w:p>
      <w:pPr>
        <w:widowControl/>
        <w:outlineLvl w:val="1"/>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注：支出预算功能科目各单位根据本单位实际据实填写，其他科目删除。</w:t>
      </w:r>
    </w:p>
    <w:p>
      <w:pPr>
        <w:widowControl/>
        <w:ind w:firstLine="640" w:firstLineChars="200"/>
        <w:outlineLvl w:val="1"/>
        <w:rPr>
          <w:rFonts w:ascii="黑体" w:hAnsi="宋体" w:eastAsia="黑体"/>
          <w:bCs/>
          <w:color w:val="000000"/>
          <w:kern w:val="0"/>
          <w:sz w:val="32"/>
          <w:szCs w:val="32"/>
        </w:rPr>
      </w:pPr>
      <w:r>
        <w:rPr>
          <w:rFonts w:hint="eastAsia" w:ascii="黑体" w:hAnsi="宋体" w:eastAsia="黑体"/>
          <w:bCs/>
          <w:color w:val="000000"/>
          <w:kern w:val="0"/>
          <w:sz w:val="32"/>
          <w:szCs w:val="32"/>
        </w:rPr>
        <w:t>二、一般公共预算财政拨款支出表</w:t>
      </w:r>
    </w:p>
    <w:p>
      <w:pPr>
        <w:widowControl/>
        <w:ind w:firstLine="720" w:firstLineChars="200"/>
        <w:jc w:val="center"/>
        <w:outlineLvl w:val="1"/>
        <w:rPr>
          <w:rFonts w:ascii="仿宋_GB2312" w:hAnsi="宋体" w:eastAsia="仿宋_GB2312"/>
          <w:b/>
          <w:color w:val="000000"/>
          <w:kern w:val="0"/>
          <w:sz w:val="36"/>
          <w:szCs w:val="36"/>
        </w:rPr>
      </w:pPr>
      <w:r>
        <w:rPr>
          <w:rFonts w:hint="eastAsia" w:ascii="仿宋_GB2312" w:hAnsi="宋体" w:eastAsia="仿宋_GB2312"/>
          <w:b/>
          <w:color w:val="000000"/>
          <w:kern w:val="0"/>
          <w:sz w:val="36"/>
          <w:szCs w:val="36"/>
        </w:rPr>
        <w:t>一般公共预算财政拨款支出表</w:t>
      </w:r>
    </w:p>
    <w:p>
      <w:pPr>
        <w:widowControl/>
        <w:ind w:firstLine="735"/>
        <w:jc w:val="left"/>
        <w:outlineLvl w:val="1"/>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 xml:space="preserve">                                                                     单位：万元</w:t>
      </w:r>
    </w:p>
    <w:tbl>
      <w:tblPr>
        <w:tblStyle w:val="8"/>
        <w:tblW w:w="0" w:type="auto"/>
        <w:tblInd w:w="91" w:type="dxa"/>
        <w:tblLayout w:type="fixed"/>
        <w:tblCellMar>
          <w:top w:w="0" w:type="dxa"/>
          <w:left w:w="108" w:type="dxa"/>
          <w:bottom w:w="0" w:type="dxa"/>
          <w:right w:w="108" w:type="dxa"/>
        </w:tblCellMar>
      </w:tblPr>
      <w:tblGrid>
        <w:gridCol w:w="1637"/>
        <w:gridCol w:w="1980"/>
        <w:gridCol w:w="1779"/>
        <w:gridCol w:w="1620"/>
        <w:gridCol w:w="1800"/>
        <w:gridCol w:w="1980"/>
        <w:gridCol w:w="236"/>
        <w:gridCol w:w="1024"/>
        <w:gridCol w:w="1454"/>
      </w:tblGrid>
      <w:tr>
        <w:tblPrEx>
          <w:tblCellMar>
            <w:top w:w="0" w:type="dxa"/>
            <w:left w:w="108" w:type="dxa"/>
            <w:bottom w:w="0" w:type="dxa"/>
            <w:right w:w="108" w:type="dxa"/>
          </w:tblCellMar>
        </w:tblPrEx>
        <w:trPr>
          <w:trHeight w:val="555" w:hRule="atLeast"/>
        </w:trPr>
        <w:tc>
          <w:tcPr>
            <w:tcW w:w="361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功能分类科目</w:t>
            </w:r>
          </w:p>
        </w:tc>
        <w:tc>
          <w:tcPr>
            <w:tcW w:w="1779" w:type="dxa"/>
            <w:vMerge w:val="restart"/>
            <w:tcBorders>
              <w:top w:val="single" w:color="auto" w:sz="4" w:space="0"/>
              <w:left w:val="nil"/>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2020年执行数（决算数）</w:t>
            </w:r>
          </w:p>
          <w:p>
            <w:pPr>
              <w:jc w:val="center"/>
              <w:rPr>
                <w:rFonts w:ascii="宋体" w:hAnsi="宋体" w:cs="宋体"/>
                <w:b/>
                <w:bCs/>
                <w:color w:val="000000"/>
                <w:kern w:val="0"/>
                <w:sz w:val="22"/>
                <w:szCs w:val="22"/>
              </w:rPr>
            </w:pPr>
          </w:p>
        </w:tc>
        <w:tc>
          <w:tcPr>
            <w:tcW w:w="540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2021年预算数</w:t>
            </w:r>
          </w:p>
        </w:tc>
        <w:tc>
          <w:tcPr>
            <w:tcW w:w="2714" w:type="dxa"/>
            <w:gridSpan w:val="3"/>
            <w:tcBorders>
              <w:top w:val="single" w:color="auto" w:sz="4" w:space="0"/>
              <w:bottom w:val="single" w:color="auto" w:sz="4" w:space="0"/>
              <w:right w:val="single" w:color="auto" w:sz="4" w:space="0"/>
            </w:tcBorders>
            <w:vAlign w:val="center"/>
          </w:tcPr>
          <w:p>
            <w:pPr>
              <w:widowControl/>
              <w:jc w:val="center"/>
              <w:rPr>
                <w:color w:val="000000"/>
                <w:kern w:val="0"/>
                <w:sz w:val="20"/>
              </w:rPr>
            </w:pPr>
            <w:r>
              <w:rPr>
                <w:rFonts w:hint="eastAsia" w:ascii="宋体" w:hAnsi="宋体" w:cs="宋体"/>
                <w:b/>
                <w:bCs/>
                <w:color w:val="000000"/>
                <w:kern w:val="0"/>
                <w:sz w:val="22"/>
                <w:szCs w:val="22"/>
              </w:rPr>
              <w:t>2021年预算数与2020年执行数（决算数）</w:t>
            </w:r>
          </w:p>
        </w:tc>
      </w:tr>
      <w:tr>
        <w:tblPrEx>
          <w:tblCellMar>
            <w:top w:w="0" w:type="dxa"/>
            <w:left w:w="108" w:type="dxa"/>
            <w:bottom w:w="0" w:type="dxa"/>
            <w:right w:w="108" w:type="dxa"/>
          </w:tblCellMar>
        </w:tblPrEx>
        <w:trPr>
          <w:trHeight w:val="1125" w:hRule="atLeast"/>
        </w:trPr>
        <w:tc>
          <w:tcPr>
            <w:tcW w:w="163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198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1779" w:type="dxa"/>
            <w:vMerge w:val="continue"/>
            <w:tcBorders>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8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236" w:type="dxa"/>
            <w:tcBorders>
              <w:top w:val="single" w:color="auto" w:sz="4" w:space="0"/>
              <w:bottom w:val="single" w:color="auto" w:sz="4" w:space="0"/>
            </w:tcBorders>
            <w:vAlign w:val="center"/>
          </w:tcPr>
          <w:p>
            <w:pPr>
              <w:widowControl/>
              <w:jc w:val="left"/>
              <w:rPr>
                <w:color w:val="000000"/>
                <w:kern w:val="0"/>
                <w:sz w:val="20"/>
              </w:rPr>
            </w:pPr>
          </w:p>
        </w:tc>
        <w:tc>
          <w:tcPr>
            <w:tcW w:w="1024" w:type="dxa"/>
            <w:tcBorders>
              <w:top w:val="single" w:color="auto" w:sz="4" w:space="0"/>
              <w:bottom w:val="single" w:color="auto" w:sz="4" w:space="0"/>
              <w:right w:val="single" w:color="auto" w:sz="4" w:space="0"/>
            </w:tcBorders>
            <w:vAlign w:val="center"/>
          </w:tcPr>
          <w:p>
            <w:pPr>
              <w:widowControl/>
              <w:rPr>
                <w:rFonts w:ascii="宋体" w:hAnsi="宋体" w:cs="宋体"/>
                <w:b/>
                <w:bCs/>
                <w:color w:val="000000"/>
                <w:kern w:val="0"/>
                <w:sz w:val="22"/>
                <w:szCs w:val="22"/>
              </w:rPr>
            </w:pPr>
            <w:r>
              <w:rPr>
                <w:rFonts w:hint="eastAsia" w:ascii="宋体" w:hAnsi="宋体" w:cs="宋体"/>
                <w:b/>
                <w:bCs/>
                <w:color w:val="000000"/>
                <w:kern w:val="0"/>
                <w:sz w:val="22"/>
                <w:szCs w:val="22"/>
              </w:rPr>
              <w:t>增减额</w:t>
            </w:r>
          </w:p>
        </w:tc>
        <w:tc>
          <w:tcPr>
            <w:tcW w:w="1454"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增减%</w:t>
            </w:r>
          </w:p>
        </w:tc>
      </w:tr>
      <w:tr>
        <w:tblPrEx>
          <w:tblCellMar>
            <w:top w:w="0" w:type="dxa"/>
            <w:left w:w="108" w:type="dxa"/>
            <w:bottom w:w="0" w:type="dxa"/>
            <w:right w:w="108" w:type="dxa"/>
          </w:tblCellMar>
        </w:tblPrEx>
        <w:trPr>
          <w:trHeight w:val="555" w:hRule="atLeast"/>
        </w:trPr>
        <w:tc>
          <w:tcPr>
            <w:tcW w:w="1637"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198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1779"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2"/>
                <w:szCs w:val="22"/>
              </w:rPr>
              <w:t>7743.2800</w:t>
            </w:r>
          </w:p>
        </w:tc>
        <w:tc>
          <w:tcPr>
            <w:tcW w:w="16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3213.8049</w:t>
            </w:r>
          </w:p>
        </w:tc>
        <w:tc>
          <w:tcPr>
            <w:tcW w:w="18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2112.3049</w:t>
            </w:r>
          </w:p>
        </w:tc>
        <w:tc>
          <w:tcPr>
            <w:tcW w:w="198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1101.5000</w:t>
            </w:r>
          </w:p>
        </w:tc>
        <w:tc>
          <w:tcPr>
            <w:tcW w:w="1260" w:type="dxa"/>
            <w:gridSpan w:val="2"/>
            <w:tcBorders>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-4529.4751</w:t>
            </w:r>
          </w:p>
        </w:tc>
        <w:tc>
          <w:tcPr>
            <w:tcW w:w="1454" w:type="dxa"/>
            <w:tcBorders>
              <w:top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-58.50</w:t>
            </w:r>
          </w:p>
        </w:tc>
      </w:tr>
      <w:tr>
        <w:tblPrEx>
          <w:tblCellMar>
            <w:top w:w="0" w:type="dxa"/>
            <w:left w:w="108" w:type="dxa"/>
            <w:bottom w:w="0" w:type="dxa"/>
            <w:right w:w="108" w:type="dxa"/>
          </w:tblCellMar>
        </w:tblPrEx>
        <w:trPr>
          <w:trHeight w:val="605" w:hRule="atLeast"/>
        </w:trPr>
        <w:tc>
          <w:tcPr>
            <w:tcW w:w="1637"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0"/>
              </w:rPr>
              <w:t>2080801</w:t>
            </w:r>
          </w:p>
        </w:tc>
        <w:tc>
          <w:tcPr>
            <w:tcW w:w="198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0"/>
              </w:rPr>
              <w:t>死亡抚恤</w:t>
            </w:r>
          </w:p>
        </w:tc>
        <w:tc>
          <w:tcPr>
            <w:tcW w:w="1779"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2"/>
                <w:szCs w:val="22"/>
              </w:rPr>
              <w:t>7.7000</w:t>
            </w:r>
          </w:p>
        </w:tc>
        <w:tc>
          <w:tcPr>
            <w:tcW w:w="162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80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98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260" w:type="dxa"/>
            <w:gridSpan w:val="2"/>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-7.7000</w:t>
            </w:r>
          </w:p>
        </w:tc>
        <w:tc>
          <w:tcPr>
            <w:tcW w:w="1454"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-100.0000</w:t>
            </w:r>
          </w:p>
        </w:tc>
      </w:tr>
      <w:tr>
        <w:tblPrEx>
          <w:tblCellMar>
            <w:top w:w="0" w:type="dxa"/>
            <w:left w:w="108" w:type="dxa"/>
            <w:bottom w:w="0" w:type="dxa"/>
            <w:right w:w="108" w:type="dxa"/>
          </w:tblCellMar>
        </w:tblPrEx>
        <w:trPr>
          <w:trHeight w:val="605" w:hRule="atLeast"/>
        </w:trPr>
        <w:tc>
          <w:tcPr>
            <w:tcW w:w="1637"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2080501</w:t>
            </w:r>
          </w:p>
        </w:tc>
        <w:tc>
          <w:tcPr>
            <w:tcW w:w="198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行政单位离退休</w:t>
            </w:r>
          </w:p>
        </w:tc>
        <w:tc>
          <w:tcPr>
            <w:tcW w:w="1779"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0.0000</w:t>
            </w:r>
          </w:p>
        </w:tc>
        <w:tc>
          <w:tcPr>
            <w:tcW w:w="16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19.2000</w:t>
            </w:r>
          </w:p>
        </w:tc>
        <w:tc>
          <w:tcPr>
            <w:tcW w:w="18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19.2000</w:t>
            </w:r>
          </w:p>
        </w:tc>
        <w:tc>
          <w:tcPr>
            <w:tcW w:w="198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260" w:type="dxa"/>
            <w:gridSpan w:val="2"/>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19.2000</w:t>
            </w:r>
          </w:p>
        </w:tc>
        <w:tc>
          <w:tcPr>
            <w:tcW w:w="1454"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13" w:hRule="atLeast"/>
        </w:trPr>
        <w:tc>
          <w:tcPr>
            <w:tcW w:w="1637"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2080502</w:t>
            </w:r>
          </w:p>
        </w:tc>
        <w:tc>
          <w:tcPr>
            <w:tcW w:w="198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事业单位离退休</w:t>
            </w:r>
          </w:p>
        </w:tc>
        <w:tc>
          <w:tcPr>
            <w:tcW w:w="1779"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0.0000</w:t>
            </w:r>
          </w:p>
        </w:tc>
        <w:tc>
          <w:tcPr>
            <w:tcW w:w="16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17.4000</w:t>
            </w:r>
          </w:p>
        </w:tc>
        <w:tc>
          <w:tcPr>
            <w:tcW w:w="18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17.4000</w:t>
            </w:r>
          </w:p>
        </w:tc>
        <w:tc>
          <w:tcPr>
            <w:tcW w:w="198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260" w:type="dxa"/>
            <w:gridSpan w:val="2"/>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17.4000</w:t>
            </w:r>
          </w:p>
        </w:tc>
        <w:tc>
          <w:tcPr>
            <w:tcW w:w="1454"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21" w:hRule="atLeast"/>
        </w:trPr>
        <w:tc>
          <w:tcPr>
            <w:tcW w:w="1637"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2080505</w:t>
            </w:r>
          </w:p>
        </w:tc>
        <w:tc>
          <w:tcPr>
            <w:tcW w:w="198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机关事业单位基本养老保险缴费支出</w:t>
            </w:r>
          </w:p>
        </w:tc>
        <w:tc>
          <w:tcPr>
            <w:tcW w:w="1779"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2"/>
                <w:szCs w:val="22"/>
              </w:rPr>
              <w:t>142.9200</w:t>
            </w:r>
          </w:p>
        </w:tc>
        <w:tc>
          <w:tcPr>
            <w:tcW w:w="16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167.5100</w:t>
            </w:r>
          </w:p>
        </w:tc>
        <w:tc>
          <w:tcPr>
            <w:tcW w:w="18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167.5100</w:t>
            </w:r>
          </w:p>
        </w:tc>
        <w:tc>
          <w:tcPr>
            <w:tcW w:w="198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260" w:type="dxa"/>
            <w:gridSpan w:val="2"/>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24.5900</w:t>
            </w:r>
          </w:p>
        </w:tc>
        <w:tc>
          <w:tcPr>
            <w:tcW w:w="1454"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17.2054</w:t>
            </w:r>
          </w:p>
        </w:tc>
      </w:tr>
      <w:tr>
        <w:tblPrEx>
          <w:tblCellMar>
            <w:top w:w="0" w:type="dxa"/>
            <w:left w:w="108" w:type="dxa"/>
            <w:bottom w:w="0" w:type="dxa"/>
            <w:right w:w="108" w:type="dxa"/>
          </w:tblCellMar>
        </w:tblPrEx>
        <w:trPr>
          <w:trHeight w:val="614" w:hRule="atLeast"/>
        </w:trPr>
        <w:tc>
          <w:tcPr>
            <w:tcW w:w="1637"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0"/>
              </w:rPr>
              <w:t>2080506</w:t>
            </w:r>
          </w:p>
        </w:tc>
        <w:tc>
          <w:tcPr>
            <w:tcW w:w="198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0"/>
              </w:rPr>
              <w:t>机关事业单位职业年金缴费支出</w:t>
            </w:r>
          </w:p>
        </w:tc>
        <w:tc>
          <w:tcPr>
            <w:tcW w:w="1779"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2"/>
                <w:szCs w:val="22"/>
              </w:rPr>
              <w:t>25.9900</w:t>
            </w:r>
          </w:p>
        </w:tc>
        <w:tc>
          <w:tcPr>
            <w:tcW w:w="162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80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98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260" w:type="dxa"/>
            <w:gridSpan w:val="2"/>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-25.9900</w:t>
            </w:r>
          </w:p>
        </w:tc>
        <w:tc>
          <w:tcPr>
            <w:tcW w:w="1454"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-100.0000</w:t>
            </w:r>
          </w:p>
        </w:tc>
      </w:tr>
      <w:tr>
        <w:tblPrEx>
          <w:tblCellMar>
            <w:top w:w="0" w:type="dxa"/>
            <w:left w:w="108" w:type="dxa"/>
            <w:bottom w:w="0" w:type="dxa"/>
            <w:right w:w="108" w:type="dxa"/>
          </w:tblCellMar>
        </w:tblPrEx>
        <w:trPr>
          <w:trHeight w:val="614" w:hRule="atLeast"/>
        </w:trPr>
        <w:tc>
          <w:tcPr>
            <w:tcW w:w="1637"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2080999</w:t>
            </w:r>
          </w:p>
        </w:tc>
        <w:tc>
          <w:tcPr>
            <w:tcW w:w="198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其他退役安置支出</w:t>
            </w:r>
          </w:p>
        </w:tc>
        <w:tc>
          <w:tcPr>
            <w:tcW w:w="1779"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2"/>
                <w:szCs w:val="22"/>
              </w:rPr>
              <w:t>6.5300</w:t>
            </w:r>
          </w:p>
        </w:tc>
        <w:tc>
          <w:tcPr>
            <w:tcW w:w="16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10.0000</w:t>
            </w:r>
          </w:p>
        </w:tc>
        <w:tc>
          <w:tcPr>
            <w:tcW w:w="180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98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10.0000</w:t>
            </w:r>
          </w:p>
        </w:tc>
        <w:tc>
          <w:tcPr>
            <w:tcW w:w="1260" w:type="dxa"/>
            <w:gridSpan w:val="2"/>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3.4700</w:t>
            </w:r>
          </w:p>
        </w:tc>
        <w:tc>
          <w:tcPr>
            <w:tcW w:w="1454"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53.1394</w:t>
            </w:r>
          </w:p>
        </w:tc>
      </w:tr>
      <w:tr>
        <w:tblPrEx>
          <w:tblCellMar>
            <w:top w:w="0" w:type="dxa"/>
            <w:left w:w="108" w:type="dxa"/>
            <w:bottom w:w="0" w:type="dxa"/>
            <w:right w:w="108" w:type="dxa"/>
          </w:tblCellMar>
        </w:tblPrEx>
        <w:trPr>
          <w:trHeight w:val="608" w:hRule="atLeast"/>
        </w:trPr>
        <w:tc>
          <w:tcPr>
            <w:tcW w:w="1637"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2101101</w:t>
            </w:r>
          </w:p>
        </w:tc>
        <w:tc>
          <w:tcPr>
            <w:tcW w:w="198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行政单位医疗</w:t>
            </w:r>
          </w:p>
        </w:tc>
        <w:tc>
          <w:tcPr>
            <w:tcW w:w="1779"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2"/>
                <w:szCs w:val="22"/>
              </w:rPr>
              <w:t>54.3300</w:t>
            </w:r>
          </w:p>
        </w:tc>
        <w:tc>
          <w:tcPr>
            <w:tcW w:w="16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55.8904</w:t>
            </w:r>
          </w:p>
        </w:tc>
        <w:tc>
          <w:tcPr>
            <w:tcW w:w="18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55.8904</w:t>
            </w:r>
          </w:p>
        </w:tc>
        <w:tc>
          <w:tcPr>
            <w:tcW w:w="198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260" w:type="dxa"/>
            <w:gridSpan w:val="2"/>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1.5604</w:t>
            </w:r>
          </w:p>
        </w:tc>
        <w:tc>
          <w:tcPr>
            <w:tcW w:w="1454"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2.8721</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2101102</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事业单位医疗</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2"/>
                <w:szCs w:val="22"/>
              </w:rPr>
              <w:t>20.3000</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44.2700</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44.2700</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23.9700</w:t>
            </w:r>
          </w:p>
        </w:tc>
        <w:tc>
          <w:tcPr>
            <w:tcW w:w="1454"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118.0788</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2101103</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公务员医疗补助</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2"/>
                <w:szCs w:val="22"/>
              </w:rPr>
              <w:t>19.9200</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26.6408</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26.6408</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6.7208</w:t>
            </w:r>
          </w:p>
        </w:tc>
        <w:tc>
          <w:tcPr>
            <w:tcW w:w="1454"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33.7390</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2110101</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行政运行</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2"/>
                <w:szCs w:val="22"/>
              </w:rPr>
              <w:t>1323.5900</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1200.4837</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1200.4837</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-123.1063</w:t>
            </w:r>
          </w:p>
        </w:tc>
        <w:tc>
          <w:tcPr>
            <w:tcW w:w="1454"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-9.3009</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0"/>
              </w:rPr>
              <w:t>2110102</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0"/>
              </w:rPr>
              <w:t>一般行政管理事务</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2"/>
                <w:szCs w:val="22"/>
              </w:rPr>
              <w:t>30.0000</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-30.0000</w:t>
            </w:r>
          </w:p>
        </w:tc>
        <w:tc>
          <w:tcPr>
            <w:tcW w:w="1454"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-100.0000</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2110104</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生态环境保护宣传</w:t>
            </w:r>
          </w:p>
        </w:tc>
        <w:tc>
          <w:tcPr>
            <w:tcW w:w="17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20.0000</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20.0000</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20.0000</w:t>
            </w:r>
          </w:p>
        </w:tc>
        <w:tc>
          <w:tcPr>
            <w:tcW w:w="1454"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2110199</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其他环境保护管理事务支出</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2"/>
                <w:szCs w:val="22"/>
              </w:rPr>
              <w:t>161.3100</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50.0000</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50.0000</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-111.3100</w:t>
            </w:r>
          </w:p>
        </w:tc>
        <w:tc>
          <w:tcPr>
            <w:tcW w:w="1454"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-69.0038</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2110299</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其他环境监测与监察支出</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2"/>
                <w:szCs w:val="22"/>
              </w:rPr>
              <w:t>1025.9400</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1484.1600</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472.6600</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1011.5000</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458.2200</w:t>
            </w:r>
          </w:p>
        </w:tc>
        <w:tc>
          <w:tcPr>
            <w:tcW w:w="1454"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44.6634</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2110301</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大气</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2"/>
                <w:szCs w:val="22"/>
              </w:rPr>
              <w:t>1466.2300</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5.0000</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5.0000</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-1461.2300</w:t>
            </w:r>
          </w:p>
        </w:tc>
        <w:tc>
          <w:tcPr>
            <w:tcW w:w="1454"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-99.6590</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0"/>
              </w:rPr>
              <w:t>2110302</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0"/>
              </w:rPr>
              <w:t>水体</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3194.1500</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-3194.1500</w:t>
            </w:r>
          </w:p>
        </w:tc>
        <w:tc>
          <w:tcPr>
            <w:tcW w:w="1454"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-100.0000</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2110303</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噪声</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2"/>
                <w:szCs w:val="22"/>
              </w:rPr>
              <w:t>5.0000</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5.0000</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5.0000</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0.0000</w:t>
            </w:r>
          </w:p>
        </w:tc>
        <w:tc>
          <w:tcPr>
            <w:tcW w:w="1454"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0.0000</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2210201</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2"/>
                <w:szCs w:val="22"/>
              </w:rPr>
              <w:t>100.8200</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108.2500</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108.2500</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7.4300</w:t>
            </w:r>
          </w:p>
        </w:tc>
        <w:tc>
          <w:tcPr>
            <w:tcW w:w="1454"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7.3696</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0"/>
              </w:rPr>
              <w:t>2110399</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0"/>
              </w:rPr>
              <w:t xml:space="preserve">  其他污染防治支出</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2"/>
                <w:szCs w:val="22"/>
              </w:rPr>
              <w:t>87.3900</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-87.3900</w:t>
            </w:r>
          </w:p>
        </w:tc>
        <w:tc>
          <w:tcPr>
            <w:tcW w:w="1454"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-100.0000</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0"/>
              </w:rPr>
              <w:t>2130502</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0"/>
              </w:rPr>
              <w:t xml:space="preserve">  一般行政管理事务</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2"/>
                <w:szCs w:val="22"/>
              </w:rPr>
              <w:t>8.4800</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-8.4800</w:t>
            </w:r>
          </w:p>
        </w:tc>
        <w:tc>
          <w:tcPr>
            <w:tcW w:w="1454" w:type="dxa"/>
            <w:tcBorders>
              <w:top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-100.0000</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0"/>
              </w:rPr>
              <w:t>2200199</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0"/>
              </w:rPr>
              <w:t>其他自然资源事务支出</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2"/>
                <w:szCs w:val="22"/>
              </w:rPr>
              <w:t>15.0000</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-15.0000</w:t>
            </w:r>
          </w:p>
        </w:tc>
        <w:tc>
          <w:tcPr>
            <w:tcW w:w="14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-100.0000</w:t>
            </w:r>
          </w:p>
        </w:tc>
      </w:tr>
      <w:tr>
        <w:tblPrEx>
          <w:tblCellMar>
            <w:top w:w="0" w:type="dxa"/>
            <w:left w:w="108" w:type="dxa"/>
            <w:bottom w:w="0" w:type="dxa"/>
            <w:right w:w="108" w:type="dxa"/>
          </w:tblCellMar>
        </w:tblPrEx>
        <w:trPr>
          <w:trHeight w:val="603" w:hRule="atLeast"/>
        </w:trPr>
        <w:tc>
          <w:tcPr>
            <w:tcW w:w="16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0"/>
              </w:rPr>
              <w:t>2210203</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0"/>
              </w:rPr>
              <w:t xml:space="preserve">  购房补贴</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2"/>
                <w:szCs w:val="22"/>
              </w:rPr>
              <w:t>47.6800</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-47.6800</w:t>
            </w:r>
          </w:p>
        </w:tc>
        <w:tc>
          <w:tcPr>
            <w:tcW w:w="14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-100.0000</w:t>
            </w:r>
          </w:p>
        </w:tc>
      </w:tr>
    </w:tbl>
    <w:p>
      <w:pPr>
        <w:widowControl/>
        <w:spacing w:line="520" w:lineRule="exact"/>
        <w:ind w:firstLine="640" w:firstLineChars="200"/>
        <w:outlineLvl w:val="1"/>
        <w:rPr>
          <w:rFonts w:ascii="黑体" w:hAnsi="宋体" w:eastAsia="黑体"/>
          <w:bCs/>
          <w:color w:val="000000"/>
          <w:kern w:val="0"/>
          <w:sz w:val="32"/>
          <w:szCs w:val="32"/>
        </w:rPr>
      </w:pPr>
      <w:r>
        <w:rPr>
          <w:rFonts w:hint="eastAsia" w:ascii="黑体" w:hAnsi="宋体" w:eastAsia="黑体"/>
          <w:bCs/>
          <w:color w:val="000000"/>
          <w:kern w:val="0"/>
          <w:sz w:val="32"/>
          <w:szCs w:val="32"/>
        </w:rPr>
        <w:br w:type="page"/>
      </w:r>
      <w:r>
        <w:rPr>
          <w:rFonts w:hint="eastAsia" w:ascii="黑体" w:hAnsi="宋体" w:eastAsia="黑体"/>
          <w:bCs/>
          <w:color w:val="000000"/>
          <w:kern w:val="0"/>
          <w:sz w:val="32"/>
          <w:szCs w:val="32"/>
        </w:rPr>
        <w:t>三、一般公共预算财政拨款基本支出表</w:t>
      </w:r>
    </w:p>
    <w:p>
      <w:pPr>
        <w:widowControl/>
        <w:spacing w:line="520" w:lineRule="exact"/>
        <w:ind w:firstLine="720" w:firstLineChars="200"/>
        <w:jc w:val="center"/>
        <w:outlineLvl w:val="1"/>
        <w:rPr>
          <w:rFonts w:ascii="仿宋_GB2312" w:hAnsi="宋体" w:eastAsia="仿宋_GB2312"/>
          <w:b/>
          <w:color w:val="000000"/>
          <w:kern w:val="0"/>
          <w:sz w:val="36"/>
          <w:szCs w:val="36"/>
        </w:rPr>
      </w:pPr>
      <w:r>
        <w:rPr>
          <w:rFonts w:hint="eastAsia" w:ascii="仿宋_GB2312" w:hAnsi="宋体" w:eastAsia="仿宋_GB2312"/>
          <w:b/>
          <w:color w:val="000000"/>
          <w:kern w:val="0"/>
          <w:sz w:val="36"/>
          <w:szCs w:val="36"/>
        </w:rPr>
        <w:t>一般公共预算财政拨款基本支出表</w:t>
      </w:r>
    </w:p>
    <w:p>
      <w:pPr>
        <w:widowControl/>
        <w:spacing w:line="520" w:lineRule="exact"/>
        <w:ind w:firstLine="720" w:firstLineChars="200"/>
        <w:jc w:val="center"/>
        <w:outlineLvl w:val="1"/>
        <w:rPr>
          <w:rFonts w:ascii="仿宋_GB2312" w:hAnsi="宋体" w:eastAsia="仿宋_GB2312"/>
          <w:b/>
          <w:color w:val="000000"/>
          <w:kern w:val="0"/>
          <w:sz w:val="36"/>
          <w:szCs w:val="36"/>
        </w:rPr>
      </w:pPr>
    </w:p>
    <w:p>
      <w:pPr>
        <w:widowControl/>
        <w:spacing w:line="520" w:lineRule="exact"/>
        <w:ind w:firstLine="735"/>
        <w:jc w:val="left"/>
        <w:outlineLvl w:val="1"/>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 xml:space="preserve">                                                                    单位：万元</w:t>
      </w:r>
    </w:p>
    <w:tbl>
      <w:tblPr>
        <w:tblStyle w:val="8"/>
        <w:tblpPr w:leftFromText="180" w:rightFromText="180" w:vertAnchor="text" w:tblpY="1"/>
        <w:tblOverlap w:val="never"/>
        <w:tblW w:w="0" w:type="auto"/>
        <w:tblInd w:w="0" w:type="dxa"/>
        <w:tblLayout w:type="fixed"/>
        <w:tblCellMar>
          <w:top w:w="0" w:type="dxa"/>
          <w:left w:w="108" w:type="dxa"/>
          <w:bottom w:w="0" w:type="dxa"/>
          <w:right w:w="108" w:type="dxa"/>
        </w:tblCellMar>
      </w:tblPr>
      <w:tblGrid>
        <w:gridCol w:w="2357"/>
        <w:gridCol w:w="3600"/>
        <w:gridCol w:w="2520"/>
        <w:gridCol w:w="2700"/>
        <w:gridCol w:w="2340"/>
      </w:tblGrid>
      <w:tr>
        <w:tblPrEx>
          <w:tblCellMar>
            <w:top w:w="0" w:type="dxa"/>
            <w:left w:w="108" w:type="dxa"/>
            <w:bottom w:w="0" w:type="dxa"/>
            <w:right w:w="108" w:type="dxa"/>
          </w:tblCellMar>
        </w:tblPrEx>
        <w:trPr>
          <w:trHeight w:val="397" w:hRule="atLeast"/>
          <w:tblHeader/>
        </w:trPr>
        <w:tc>
          <w:tcPr>
            <w:tcW w:w="595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sz w:val="22"/>
                <w:szCs w:val="22"/>
              </w:rPr>
            </w:pPr>
            <w:r>
              <w:rPr>
                <w:rFonts w:hint="eastAsia" w:ascii="宋体" w:hAnsi="宋体"/>
                <w:b/>
                <w:bCs/>
                <w:color w:val="000000"/>
                <w:sz w:val="22"/>
                <w:szCs w:val="22"/>
              </w:rPr>
              <w:t>经济科目</w:t>
            </w:r>
          </w:p>
        </w:tc>
        <w:tc>
          <w:tcPr>
            <w:tcW w:w="7560" w:type="dxa"/>
            <w:gridSpan w:val="3"/>
            <w:tcBorders>
              <w:top w:val="single" w:color="auto" w:sz="4" w:space="0"/>
              <w:left w:val="nil"/>
              <w:bottom w:val="single" w:color="auto" w:sz="4" w:space="0"/>
              <w:right w:val="single" w:color="auto" w:sz="4" w:space="0"/>
            </w:tcBorders>
            <w:vAlign w:val="center"/>
          </w:tcPr>
          <w:p>
            <w:pPr>
              <w:jc w:val="center"/>
              <w:rPr>
                <w:rFonts w:ascii="宋体" w:hAnsi="宋体" w:cs="宋体"/>
                <w:b/>
                <w:bCs/>
                <w:color w:val="000000"/>
                <w:sz w:val="22"/>
                <w:szCs w:val="22"/>
              </w:rPr>
            </w:pPr>
            <w:r>
              <w:rPr>
                <w:rFonts w:hint="eastAsia" w:ascii="宋体" w:hAnsi="宋体"/>
                <w:b/>
                <w:bCs/>
                <w:color w:val="000000"/>
                <w:sz w:val="22"/>
                <w:szCs w:val="22"/>
              </w:rPr>
              <w:t>基本支出预算</w:t>
            </w:r>
          </w:p>
        </w:tc>
      </w:tr>
      <w:tr>
        <w:tblPrEx>
          <w:tblCellMar>
            <w:top w:w="0" w:type="dxa"/>
            <w:left w:w="108" w:type="dxa"/>
            <w:bottom w:w="0" w:type="dxa"/>
            <w:right w:w="108" w:type="dxa"/>
          </w:tblCellMar>
        </w:tblPrEx>
        <w:trPr>
          <w:trHeight w:val="90" w:hRule="atLeast"/>
          <w:tblHeader/>
        </w:trPr>
        <w:tc>
          <w:tcPr>
            <w:tcW w:w="2357"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sz w:val="22"/>
                <w:szCs w:val="22"/>
              </w:rPr>
            </w:pPr>
            <w:r>
              <w:rPr>
                <w:rFonts w:hint="eastAsia"/>
                <w:b/>
                <w:bCs/>
                <w:color w:val="000000"/>
                <w:sz w:val="22"/>
                <w:szCs w:val="22"/>
              </w:rPr>
              <w:t>科目编码</w:t>
            </w:r>
          </w:p>
        </w:tc>
        <w:tc>
          <w:tcPr>
            <w:tcW w:w="3600" w:type="dxa"/>
            <w:tcBorders>
              <w:top w:val="nil"/>
              <w:left w:val="nil"/>
              <w:bottom w:val="single" w:color="auto" w:sz="4" w:space="0"/>
              <w:right w:val="single" w:color="auto" w:sz="4" w:space="0"/>
            </w:tcBorders>
            <w:vAlign w:val="center"/>
          </w:tcPr>
          <w:p>
            <w:pPr>
              <w:jc w:val="center"/>
              <w:rPr>
                <w:rFonts w:ascii="宋体" w:hAnsi="宋体" w:cs="宋体"/>
                <w:b/>
                <w:bCs/>
                <w:color w:val="000000"/>
                <w:sz w:val="22"/>
                <w:szCs w:val="22"/>
              </w:rPr>
            </w:pPr>
            <w:r>
              <w:rPr>
                <w:rFonts w:hint="eastAsia" w:ascii="宋体" w:hAnsi="宋体"/>
                <w:b/>
                <w:bCs/>
                <w:color w:val="000000"/>
                <w:sz w:val="22"/>
                <w:szCs w:val="22"/>
              </w:rPr>
              <w:t>科目名称</w:t>
            </w:r>
          </w:p>
        </w:tc>
        <w:tc>
          <w:tcPr>
            <w:tcW w:w="2520" w:type="dxa"/>
            <w:tcBorders>
              <w:top w:val="nil"/>
              <w:left w:val="nil"/>
              <w:bottom w:val="single" w:color="auto" w:sz="4" w:space="0"/>
              <w:right w:val="single" w:color="auto" w:sz="4" w:space="0"/>
            </w:tcBorders>
            <w:vAlign w:val="center"/>
          </w:tcPr>
          <w:p>
            <w:pPr>
              <w:jc w:val="center"/>
              <w:rPr>
                <w:rFonts w:ascii="宋体" w:hAnsi="宋体" w:cs="宋体"/>
                <w:b/>
                <w:bCs/>
                <w:color w:val="000000"/>
                <w:sz w:val="22"/>
                <w:szCs w:val="22"/>
              </w:rPr>
            </w:pPr>
            <w:r>
              <w:rPr>
                <w:rFonts w:hint="eastAsia" w:ascii="宋体" w:hAnsi="宋体"/>
                <w:b/>
                <w:bCs/>
                <w:color w:val="000000"/>
                <w:sz w:val="22"/>
                <w:szCs w:val="22"/>
              </w:rPr>
              <w:t>合计</w:t>
            </w:r>
          </w:p>
        </w:tc>
        <w:tc>
          <w:tcPr>
            <w:tcW w:w="2700" w:type="dxa"/>
            <w:tcBorders>
              <w:top w:val="nil"/>
              <w:left w:val="nil"/>
              <w:bottom w:val="single" w:color="auto" w:sz="4" w:space="0"/>
              <w:right w:val="single" w:color="auto" w:sz="4" w:space="0"/>
            </w:tcBorders>
            <w:vAlign w:val="center"/>
          </w:tcPr>
          <w:p>
            <w:pPr>
              <w:jc w:val="center"/>
              <w:rPr>
                <w:rFonts w:ascii="宋体" w:hAnsi="宋体" w:cs="宋体"/>
                <w:b/>
                <w:bCs/>
                <w:color w:val="000000"/>
                <w:sz w:val="22"/>
                <w:szCs w:val="22"/>
              </w:rPr>
            </w:pPr>
            <w:r>
              <w:rPr>
                <w:rFonts w:hint="eastAsia" w:ascii="宋体" w:hAnsi="宋体"/>
                <w:b/>
                <w:bCs/>
                <w:color w:val="000000"/>
                <w:sz w:val="22"/>
                <w:szCs w:val="22"/>
              </w:rPr>
              <w:t>人员支出</w:t>
            </w:r>
          </w:p>
        </w:tc>
        <w:tc>
          <w:tcPr>
            <w:tcW w:w="2340" w:type="dxa"/>
            <w:tcBorders>
              <w:top w:val="nil"/>
              <w:left w:val="nil"/>
              <w:bottom w:val="single" w:color="auto" w:sz="4" w:space="0"/>
              <w:right w:val="single" w:color="auto" w:sz="4" w:space="0"/>
            </w:tcBorders>
            <w:vAlign w:val="center"/>
          </w:tcPr>
          <w:p>
            <w:pPr>
              <w:jc w:val="center"/>
              <w:rPr>
                <w:rFonts w:ascii="宋体" w:hAnsi="宋体" w:cs="宋体"/>
                <w:b/>
                <w:bCs/>
                <w:color w:val="000000"/>
                <w:sz w:val="22"/>
                <w:szCs w:val="22"/>
              </w:rPr>
            </w:pPr>
            <w:r>
              <w:rPr>
                <w:rFonts w:hint="eastAsia" w:ascii="宋体" w:hAnsi="宋体"/>
                <w:b/>
                <w:bCs/>
                <w:color w:val="000000"/>
                <w:sz w:val="22"/>
                <w:szCs w:val="22"/>
              </w:rPr>
              <w:t>日常公用支出</w:t>
            </w:r>
          </w:p>
        </w:tc>
      </w:tr>
      <w:tr>
        <w:tblPrEx>
          <w:tblCellMar>
            <w:top w:w="0" w:type="dxa"/>
            <w:left w:w="108" w:type="dxa"/>
            <w:bottom w:w="0" w:type="dxa"/>
            <w:right w:w="108" w:type="dxa"/>
          </w:tblCellMar>
        </w:tblPrEx>
        <w:trPr>
          <w:trHeight w:val="113" w:hRule="atLeast"/>
          <w:tblHeader/>
        </w:trPr>
        <w:tc>
          <w:tcPr>
            <w:tcW w:w="5957" w:type="dxa"/>
            <w:gridSpan w:val="2"/>
            <w:tcBorders>
              <w:top w:val="single" w:color="auto" w:sz="4" w:space="0"/>
              <w:left w:val="single" w:color="auto" w:sz="4" w:space="0"/>
              <w:bottom w:val="single" w:color="auto" w:sz="4" w:space="0"/>
              <w:right w:val="single" w:color="000000" w:sz="4" w:space="0"/>
            </w:tcBorders>
            <w:vAlign w:val="center"/>
          </w:tcPr>
          <w:p>
            <w:pPr>
              <w:spacing w:line="360" w:lineRule="exact"/>
              <w:jc w:val="center"/>
              <w:rPr>
                <w:rFonts w:ascii="宋体" w:hAnsi="宋体" w:cs="宋体"/>
                <w:b/>
                <w:bCs/>
                <w:color w:val="000000"/>
                <w:sz w:val="22"/>
                <w:szCs w:val="22"/>
              </w:rPr>
            </w:pPr>
            <w:r>
              <w:rPr>
                <w:rFonts w:hint="eastAsia" w:ascii="宋体" w:hAnsi="宋体"/>
                <w:b/>
                <w:bCs/>
                <w:color w:val="000000"/>
                <w:sz w:val="22"/>
                <w:szCs w:val="22"/>
              </w:rPr>
              <w:t>总计</w:t>
            </w:r>
          </w:p>
        </w:tc>
        <w:tc>
          <w:tcPr>
            <w:tcW w:w="25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2112.304900</w:t>
            </w:r>
          </w:p>
        </w:tc>
        <w:tc>
          <w:tcPr>
            <w:tcW w:w="27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1981.574900</w:t>
            </w:r>
          </w:p>
        </w:tc>
        <w:tc>
          <w:tcPr>
            <w:tcW w:w="23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130.730000</w:t>
            </w:r>
          </w:p>
        </w:tc>
      </w:tr>
      <w:tr>
        <w:tblPrEx>
          <w:tblCellMar>
            <w:top w:w="0" w:type="dxa"/>
            <w:left w:w="108" w:type="dxa"/>
            <w:bottom w:w="0" w:type="dxa"/>
            <w:right w:w="108" w:type="dxa"/>
          </w:tblCellMar>
        </w:tblPrEx>
        <w:trPr>
          <w:trHeight w:val="345"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301</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b/>
                <w:bCs/>
                <w:color w:val="000000"/>
                <w:sz w:val="22"/>
                <w:szCs w:val="22"/>
              </w:rPr>
            </w:pPr>
            <w:r>
              <w:rPr>
                <w:rFonts w:hint="eastAsia" w:ascii="宋体" w:hAnsi="宋体"/>
                <w:b/>
                <w:bCs/>
                <w:color w:val="000000"/>
                <w:sz w:val="22"/>
                <w:szCs w:val="22"/>
              </w:rPr>
              <w:t>一、工资福利支出</w:t>
            </w:r>
          </w:p>
        </w:tc>
        <w:tc>
          <w:tcPr>
            <w:tcW w:w="25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1945.694900</w:t>
            </w:r>
          </w:p>
        </w:tc>
        <w:tc>
          <w:tcPr>
            <w:tcW w:w="27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1943.194900</w:t>
            </w:r>
          </w:p>
        </w:tc>
        <w:tc>
          <w:tcPr>
            <w:tcW w:w="23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2.500000</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30101</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sz w:val="22"/>
                <w:szCs w:val="22"/>
              </w:rPr>
            </w:pPr>
            <w:r>
              <w:rPr>
                <w:rFonts w:hint="eastAsia" w:ascii="宋体" w:hAnsi="宋体"/>
                <w:color w:val="000000"/>
                <w:sz w:val="22"/>
                <w:szCs w:val="22"/>
              </w:rPr>
              <w:t>基本工资</w:t>
            </w:r>
          </w:p>
        </w:tc>
        <w:tc>
          <w:tcPr>
            <w:tcW w:w="25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543.524800</w:t>
            </w:r>
          </w:p>
        </w:tc>
        <w:tc>
          <w:tcPr>
            <w:tcW w:w="27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543.524800</w:t>
            </w:r>
          </w:p>
        </w:tc>
        <w:tc>
          <w:tcPr>
            <w:tcW w:w="23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30102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sz w:val="22"/>
                <w:szCs w:val="22"/>
              </w:rPr>
            </w:pPr>
            <w:r>
              <w:rPr>
                <w:rFonts w:hint="eastAsia" w:ascii="宋体" w:hAnsi="宋体"/>
                <w:color w:val="000000"/>
                <w:sz w:val="22"/>
                <w:szCs w:val="22"/>
              </w:rPr>
              <w:t>津贴补贴</w:t>
            </w:r>
          </w:p>
        </w:tc>
        <w:tc>
          <w:tcPr>
            <w:tcW w:w="25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397.520800</w:t>
            </w:r>
          </w:p>
        </w:tc>
        <w:tc>
          <w:tcPr>
            <w:tcW w:w="27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397.520800</w:t>
            </w:r>
          </w:p>
        </w:tc>
        <w:tc>
          <w:tcPr>
            <w:tcW w:w="23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30103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sz w:val="22"/>
                <w:szCs w:val="22"/>
              </w:rPr>
            </w:pPr>
            <w:r>
              <w:rPr>
                <w:rFonts w:hint="eastAsia" w:ascii="宋体" w:hAnsi="宋体"/>
                <w:color w:val="000000"/>
                <w:sz w:val="22"/>
                <w:szCs w:val="22"/>
              </w:rPr>
              <w:t>奖金</w:t>
            </w:r>
          </w:p>
        </w:tc>
        <w:tc>
          <w:tcPr>
            <w:tcW w:w="25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380.799700</w:t>
            </w:r>
          </w:p>
        </w:tc>
        <w:tc>
          <w:tcPr>
            <w:tcW w:w="27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380.799700</w:t>
            </w:r>
          </w:p>
        </w:tc>
        <w:tc>
          <w:tcPr>
            <w:tcW w:w="23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30106</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sz w:val="22"/>
                <w:szCs w:val="22"/>
              </w:rPr>
            </w:pPr>
            <w:r>
              <w:rPr>
                <w:rFonts w:hint="eastAsia" w:ascii="宋体" w:hAnsi="宋体"/>
                <w:color w:val="000000"/>
                <w:sz w:val="22"/>
                <w:szCs w:val="22"/>
              </w:rPr>
              <w:t>伙食补助费</w:t>
            </w:r>
          </w:p>
        </w:tc>
        <w:tc>
          <w:tcPr>
            <w:tcW w:w="2520" w:type="dxa"/>
            <w:tcBorders>
              <w:top w:val="nil"/>
              <w:left w:val="nil"/>
              <w:bottom w:val="single" w:color="auto" w:sz="4" w:space="0"/>
              <w:right w:val="single" w:color="auto" w:sz="4" w:space="0"/>
            </w:tcBorders>
            <w:vAlign w:val="bottom"/>
          </w:tcPr>
          <w:p>
            <w:pPr>
              <w:widowControl/>
              <w:jc w:val="center"/>
              <w:textAlignment w:val="center"/>
              <w:rPr>
                <w:rFonts w:ascii="宋体" w:hAnsi="宋体" w:cs="宋体"/>
                <w:color w:val="000000"/>
                <w:kern w:val="0"/>
                <w:sz w:val="18"/>
                <w:szCs w:val="18"/>
              </w:rPr>
            </w:pPr>
          </w:p>
        </w:tc>
        <w:tc>
          <w:tcPr>
            <w:tcW w:w="2700" w:type="dxa"/>
            <w:tcBorders>
              <w:top w:val="nil"/>
              <w:left w:val="nil"/>
              <w:bottom w:val="single" w:color="auto" w:sz="4" w:space="0"/>
              <w:right w:val="single" w:color="auto" w:sz="4" w:space="0"/>
            </w:tcBorders>
            <w:vAlign w:val="bottom"/>
          </w:tcPr>
          <w:p>
            <w:pPr>
              <w:widowControl/>
              <w:jc w:val="center"/>
              <w:textAlignment w:val="center"/>
              <w:rPr>
                <w:rFonts w:ascii="宋体" w:hAnsi="宋体" w:cs="宋体"/>
                <w:color w:val="000000"/>
                <w:kern w:val="0"/>
                <w:sz w:val="18"/>
                <w:szCs w:val="18"/>
              </w:rPr>
            </w:pPr>
          </w:p>
        </w:tc>
        <w:tc>
          <w:tcPr>
            <w:tcW w:w="23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30107</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sz w:val="22"/>
                <w:szCs w:val="22"/>
              </w:rPr>
            </w:pPr>
            <w:r>
              <w:rPr>
                <w:rFonts w:hint="eastAsia" w:ascii="宋体" w:hAnsi="宋体"/>
                <w:color w:val="000000"/>
                <w:sz w:val="22"/>
                <w:szCs w:val="22"/>
              </w:rPr>
              <w:t>绩效工资</w:t>
            </w:r>
          </w:p>
        </w:tc>
        <w:tc>
          <w:tcPr>
            <w:tcW w:w="25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207.748800</w:t>
            </w:r>
          </w:p>
        </w:tc>
        <w:tc>
          <w:tcPr>
            <w:tcW w:w="27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207.748800</w:t>
            </w:r>
          </w:p>
        </w:tc>
        <w:tc>
          <w:tcPr>
            <w:tcW w:w="23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30108</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sz w:val="22"/>
                <w:szCs w:val="22"/>
              </w:rPr>
            </w:pPr>
            <w:r>
              <w:rPr>
                <w:rFonts w:hint="eastAsia" w:ascii="宋体" w:hAnsi="宋体"/>
                <w:color w:val="000000"/>
                <w:sz w:val="22"/>
                <w:szCs w:val="22"/>
              </w:rPr>
              <w:t>机关事业单位基本养老保险缴费</w:t>
            </w:r>
          </w:p>
        </w:tc>
        <w:tc>
          <w:tcPr>
            <w:tcW w:w="25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167.510000</w:t>
            </w:r>
          </w:p>
        </w:tc>
        <w:tc>
          <w:tcPr>
            <w:tcW w:w="27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167.510000</w:t>
            </w:r>
          </w:p>
        </w:tc>
        <w:tc>
          <w:tcPr>
            <w:tcW w:w="23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olor w:val="000000"/>
                <w:sz w:val="22"/>
                <w:szCs w:val="22"/>
              </w:rPr>
            </w:pPr>
            <w:r>
              <w:rPr>
                <w:rFonts w:hint="eastAsia" w:ascii="宋体" w:hAnsi="宋体"/>
                <w:color w:val="000000"/>
                <w:sz w:val="22"/>
                <w:szCs w:val="22"/>
              </w:rPr>
              <w:t>30109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olor w:val="000000"/>
                <w:sz w:val="22"/>
                <w:szCs w:val="22"/>
              </w:rPr>
            </w:pPr>
            <w:r>
              <w:rPr>
                <w:rFonts w:hint="eastAsia" w:ascii="宋体" w:hAnsi="宋体"/>
                <w:color w:val="000000"/>
                <w:sz w:val="22"/>
                <w:szCs w:val="22"/>
              </w:rPr>
              <w:t>职业年金缴费</w:t>
            </w:r>
          </w:p>
        </w:tc>
        <w:tc>
          <w:tcPr>
            <w:tcW w:w="2520" w:type="dxa"/>
            <w:tcBorders>
              <w:top w:val="nil"/>
              <w:left w:val="nil"/>
              <w:bottom w:val="single" w:color="auto" w:sz="4" w:space="0"/>
              <w:right w:val="single" w:color="auto" w:sz="4" w:space="0"/>
            </w:tcBorders>
            <w:vAlign w:val="bottom"/>
          </w:tcPr>
          <w:p>
            <w:pPr>
              <w:widowControl/>
              <w:jc w:val="center"/>
              <w:textAlignment w:val="center"/>
              <w:rPr>
                <w:rFonts w:ascii="宋体" w:hAnsi="宋体" w:cs="宋体"/>
                <w:color w:val="000000"/>
                <w:kern w:val="0"/>
                <w:sz w:val="18"/>
                <w:szCs w:val="18"/>
              </w:rPr>
            </w:pPr>
          </w:p>
        </w:tc>
        <w:tc>
          <w:tcPr>
            <w:tcW w:w="2700" w:type="dxa"/>
            <w:tcBorders>
              <w:top w:val="nil"/>
              <w:left w:val="nil"/>
              <w:bottom w:val="single" w:color="auto" w:sz="4" w:space="0"/>
              <w:right w:val="single" w:color="auto" w:sz="4" w:space="0"/>
            </w:tcBorders>
            <w:vAlign w:val="bottom"/>
          </w:tcPr>
          <w:p>
            <w:pPr>
              <w:widowControl/>
              <w:jc w:val="center"/>
              <w:textAlignment w:val="center"/>
              <w:rPr>
                <w:rFonts w:ascii="宋体" w:hAnsi="宋体" w:cs="宋体"/>
                <w:color w:val="000000"/>
                <w:kern w:val="0"/>
                <w:sz w:val="18"/>
                <w:szCs w:val="18"/>
              </w:rPr>
            </w:pPr>
          </w:p>
        </w:tc>
        <w:tc>
          <w:tcPr>
            <w:tcW w:w="23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olor w:val="000000"/>
                <w:sz w:val="22"/>
                <w:szCs w:val="22"/>
              </w:rPr>
            </w:pPr>
            <w:r>
              <w:rPr>
                <w:rFonts w:hint="eastAsia" w:ascii="宋体" w:hAnsi="宋体"/>
                <w:color w:val="000000"/>
                <w:sz w:val="22"/>
                <w:szCs w:val="22"/>
              </w:rPr>
              <w:t>30110</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olor w:val="000000"/>
                <w:sz w:val="22"/>
                <w:szCs w:val="22"/>
              </w:rPr>
            </w:pPr>
            <w:r>
              <w:rPr>
                <w:rFonts w:hint="eastAsia" w:ascii="宋体" w:hAnsi="宋体"/>
                <w:color w:val="000000"/>
                <w:sz w:val="22"/>
                <w:szCs w:val="22"/>
              </w:rPr>
              <w:t>职工基本医疗保险缴费</w:t>
            </w:r>
          </w:p>
        </w:tc>
        <w:tc>
          <w:tcPr>
            <w:tcW w:w="25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92.130000</w:t>
            </w:r>
          </w:p>
        </w:tc>
        <w:tc>
          <w:tcPr>
            <w:tcW w:w="27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92.130000</w:t>
            </w:r>
          </w:p>
        </w:tc>
        <w:tc>
          <w:tcPr>
            <w:tcW w:w="23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olor w:val="000000"/>
                <w:sz w:val="22"/>
                <w:szCs w:val="22"/>
              </w:rPr>
            </w:pPr>
            <w:r>
              <w:rPr>
                <w:rFonts w:hint="eastAsia" w:ascii="宋体" w:hAnsi="宋体"/>
                <w:color w:val="000000"/>
                <w:sz w:val="22"/>
                <w:szCs w:val="22"/>
              </w:rPr>
              <w:t>30111</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olor w:val="000000"/>
                <w:sz w:val="22"/>
                <w:szCs w:val="22"/>
              </w:rPr>
            </w:pPr>
            <w:r>
              <w:rPr>
                <w:rFonts w:hint="eastAsia" w:ascii="宋体" w:hAnsi="宋体"/>
                <w:color w:val="000000"/>
                <w:sz w:val="22"/>
                <w:szCs w:val="22"/>
              </w:rPr>
              <w:t>公务员医疗补助缴费</w:t>
            </w:r>
          </w:p>
        </w:tc>
        <w:tc>
          <w:tcPr>
            <w:tcW w:w="25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26.640800</w:t>
            </w:r>
          </w:p>
        </w:tc>
        <w:tc>
          <w:tcPr>
            <w:tcW w:w="27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26.640800</w:t>
            </w:r>
          </w:p>
        </w:tc>
        <w:tc>
          <w:tcPr>
            <w:tcW w:w="23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olor w:val="000000"/>
                <w:sz w:val="22"/>
                <w:szCs w:val="22"/>
              </w:rPr>
            </w:pPr>
            <w:r>
              <w:rPr>
                <w:rFonts w:hint="eastAsia" w:ascii="宋体" w:hAnsi="宋体"/>
                <w:color w:val="000000"/>
                <w:sz w:val="22"/>
                <w:szCs w:val="22"/>
              </w:rPr>
              <w:t>30112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olor w:val="000000"/>
                <w:sz w:val="22"/>
                <w:szCs w:val="22"/>
              </w:rPr>
            </w:pPr>
            <w:r>
              <w:rPr>
                <w:rFonts w:hint="eastAsia" w:ascii="宋体" w:hAnsi="宋体"/>
                <w:color w:val="000000"/>
                <w:sz w:val="22"/>
                <w:szCs w:val="22"/>
              </w:rPr>
              <w:t>其他社会保障缴费</w:t>
            </w:r>
          </w:p>
        </w:tc>
        <w:tc>
          <w:tcPr>
            <w:tcW w:w="25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1.680000</w:t>
            </w:r>
          </w:p>
        </w:tc>
        <w:tc>
          <w:tcPr>
            <w:tcW w:w="27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1.680000</w:t>
            </w:r>
          </w:p>
        </w:tc>
        <w:tc>
          <w:tcPr>
            <w:tcW w:w="23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olor w:val="000000"/>
                <w:sz w:val="22"/>
                <w:szCs w:val="22"/>
              </w:rPr>
            </w:pPr>
            <w:r>
              <w:rPr>
                <w:rFonts w:hint="eastAsia" w:ascii="宋体" w:hAnsi="宋体"/>
                <w:color w:val="000000"/>
                <w:sz w:val="22"/>
                <w:szCs w:val="22"/>
              </w:rPr>
              <w:t>30113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olor w:val="000000"/>
                <w:sz w:val="22"/>
                <w:szCs w:val="22"/>
              </w:rPr>
            </w:pPr>
            <w:r>
              <w:rPr>
                <w:rFonts w:hint="eastAsia" w:ascii="宋体" w:hAnsi="宋体"/>
                <w:color w:val="000000"/>
                <w:sz w:val="22"/>
                <w:szCs w:val="22"/>
              </w:rPr>
              <w:t>住房公积金</w:t>
            </w:r>
          </w:p>
        </w:tc>
        <w:tc>
          <w:tcPr>
            <w:tcW w:w="25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125.640000</w:t>
            </w:r>
          </w:p>
        </w:tc>
        <w:tc>
          <w:tcPr>
            <w:tcW w:w="27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125.640000</w:t>
            </w:r>
          </w:p>
        </w:tc>
        <w:tc>
          <w:tcPr>
            <w:tcW w:w="23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30114</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sz w:val="22"/>
                <w:szCs w:val="22"/>
              </w:rPr>
            </w:pPr>
            <w:r>
              <w:rPr>
                <w:rFonts w:hint="eastAsia" w:ascii="宋体" w:hAnsi="宋体"/>
                <w:color w:val="000000"/>
                <w:sz w:val="22"/>
                <w:szCs w:val="22"/>
              </w:rPr>
              <w:t>医疗费</w:t>
            </w:r>
          </w:p>
        </w:tc>
        <w:tc>
          <w:tcPr>
            <w:tcW w:w="2520" w:type="dxa"/>
            <w:tcBorders>
              <w:top w:val="nil"/>
              <w:left w:val="nil"/>
              <w:bottom w:val="single" w:color="auto" w:sz="4" w:space="0"/>
              <w:right w:val="single" w:color="auto" w:sz="4" w:space="0"/>
            </w:tcBorders>
            <w:vAlign w:val="bottom"/>
          </w:tcPr>
          <w:p>
            <w:pPr>
              <w:widowControl/>
              <w:jc w:val="center"/>
              <w:textAlignment w:val="center"/>
              <w:rPr>
                <w:rFonts w:ascii="宋体" w:hAnsi="宋体" w:cs="宋体"/>
                <w:color w:val="000000"/>
                <w:kern w:val="0"/>
                <w:sz w:val="18"/>
                <w:szCs w:val="18"/>
              </w:rPr>
            </w:pPr>
          </w:p>
        </w:tc>
        <w:tc>
          <w:tcPr>
            <w:tcW w:w="2700" w:type="dxa"/>
            <w:tcBorders>
              <w:top w:val="nil"/>
              <w:left w:val="nil"/>
              <w:bottom w:val="single" w:color="auto" w:sz="4" w:space="0"/>
              <w:right w:val="single" w:color="auto" w:sz="4" w:space="0"/>
            </w:tcBorders>
            <w:vAlign w:val="bottom"/>
          </w:tcPr>
          <w:p>
            <w:pPr>
              <w:widowControl/>
              <w:jc w:val="center"/>
              <w:textAlignment w:val="center"/>
              <w:rPr>
                <w:rFonts w:ascii="宋体" w:hAnsi="宋体" w:cs="宋体"/>
                <w:color w:val="000000"/>
                <w:kern w:val="0"/>
                <w:sz w:val="18"/>
                <w:szCs w:val="18"/>
              </w:rPr>
            </w:pPr>
          </w:p>
        </w:tc>
        <w:tc>
          <w:tcPr>
            <w:tcW w:w="23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olor w:val="000000"/>
                <w:sz w:val="22"/>
                <w:szCs w:val="22"/>
              </w:rPr>
            </w:pPr>
            <w:r>
              <w:rPr>
                <w:rFonts w:hint="eastAsia" w:ascii="宋体" w:hAnsi="宋体"/>
                <w:color w:val="000000"/>
                <w:sz w:val="22"/>
                <w:szCs w:val="22"/>
              </w:rPr>
              <w:t>30199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olor w:val="000000"/>
                <w:sz w:val="22"/>
                <w:szCs w:val="22"/>
              </w:rPr>
            </w:pPr>
            <w:r>
              <w:rPr>
                <w:rFonts w:hint="eastAsia" w:ascii="宋体" w:hAnsi="宋体"/>
                <w:color w:val="000000"/>
                <w:sz w:val="22"/>
                <w:szCs w:val="22"/>
              </w:rPr>
              <w:t>其他工资福利支出</w:t>
            </w:r>
          </w:p>
        </w:tc>
        <w:tc>
          <w:tcPr>
            <w:tcW w:w="25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2.500000</w:t>
            </w:r>
          </w:p>
        </w:tc>
        <w:tc>
          <w:tcPr>
            <w:tcW w:w="27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23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2.500000</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302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b/>
                <w:bCs/>
                <w:color w:val="000000"/>
                <w:sz w:val="22"/>
                <w:szCs w:val="22"/>
              </w:rPr>
            </w:pPr>
            <w:r>
              <w:rPr>
                <w:rFonts w:hint="eastAsia" w:ascii="宋体" w:hAnsi="宋体"/>
                <w:b/>
                <w:bCs/>
                <w:color w:val="000000"/>
                <w:sz w:val="22"/>
                <w:szCs w:val="22"/>
              </w:rPr>
              <w:t>二、商品和服务支出</w:t>
            </w:r>
          </w:p>
        </w:tc>
        <w:tc>
          <w:tcPr>
            <w:tcW w:w="25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126.730000</w:t>
            </w:r>
          </w:p>
        </w:tc>
        <w:tc>
          <w:tcPr>
            <w:tcW w:w="27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23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126.730000</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30201</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sz w:val="22"/>
                <w:szCs w:val="22"/>
              </w:rPr>
            </w:pPr>
            <w:r>
              <w:rPr>
                <w:rFonts w:hint="eastAsia" w:ascii="宋体" w:hAnsi="宋体"/>
                <w:color w:val="000000"/>
                <w:sz w:val="22"/>
                <w:szCs w:val="22"/>
              </w:rPr>
              <w:t>办公费</w:t>
            </w:r>
          </w:p>
        </w:tc>
        <w:tc>
          <w:tcPr>
            <w:tcW w:w="25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22.100000</w:t>
            </w:r>
          </w:p>
        </w:tc>
        <w:tc>
          <w:tcPr>
            <w:tcW w:w="27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23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22.100000</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30202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sz w:val="22"/>
                <w:szCs w:val="22"/>
              </w:rPr>
            </w:pPr>
            <w:r>
              <w:rPr>
                <w:rFonts w:hint="eastAsia" w:ascii="宋体" w:hAnsi="宋体"/>
                <w:color w:val="000000"/>
                <w:sz w:val="22"/>
                <w:szCs w:val="22"/>
              </w:rPr>
              <w:t>印刷费</w:t>
            </w:r>
          </w:p>
        </w:tc>
        <w:tc>
          <w:tcPr>
            <w:tcW w:w="25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10.850000</w:t>
            </w:r>
          </w:p>
        </w:tc>
        <w:tc>
          <w:tcPr>
            <w:tcW w:w="27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23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10.850000</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30203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sz w:val="22"/>
                <w:szCs w:val="22"/>
              </w:rPr>
            </w:pPr>
            <w:r>
              <w:rPr>
                <w:rFonts w:hint="eastAsia" w:ascii="宋体" w:hAnsi="宋体"/>
                <w:color w:val="000000"/>
                <w:sz w:val="22"/>
                <w:szCs w:val="22"/>
              </w:rPr>
              <w:t>咨询费</w:t>
            </w:r>
          </w:p>
        </w:tc>
        <w:tc>
          <w:tcPr>
            <w:tcW w:w="25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3.000000</w:t>
            </w:r>
          </w:p>
        </w:tc>
        <w:tc>
          <w:tcPr>
            <w:tcW w:w="27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23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3.000000</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30204</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sz w:val="22"/>
                <w:szCs w:val="22"/>
              </w:rPr>
            </w:pPr>
            <w:r>
              <w:rPr>
                <w:rFonts w:hint="eastAsia" w:ascii="宋体" w:hAnsi="宋体"/>
                <w:color w:val="000000"/>
                <w:sz w:val="22"/>
                <w:szCs w:val="22"/>
              </w:rPr>
              <w:t>手续费</w:t>
            </w:r>
          </w:p>
        </w:tc>
        <w:tc>
          <w:tcPr>
            <w:tcW w:w="2520" w:type="dxa"/>
            <w:tcBorders>
              <w:top w:val="nil"/>
              <w:left w:val="nil"/>
              <w:bottom w:val="single" w:color="auto" w:sz="4" w:space="0"/>
              <w:right w:val="single" w:color="auto" w:sz="4" w:space="0"/>
            </w:tcBorders>
            <w:vAlign w:val="bottom"/>
          </w:tcPr>
          <w:p>
            <w:pPr>
              <w:widowControl/>
              <w:jc w:val="center"/>
              <w:textAlignment w:val="center"/>
              <w:rPr>
                <w:rFonts w:ascii="宋体" w:hAnsi="宋体" w:cs="宋体"/>
                <w:color w:val="000000"/>
                <w:kern w:val="0"/>
                <w:sz w:val="18"/>
                <w:szCs w:val="18"/>
              </w:rPr>
            </w:pPr>
          </w:p>
        </w:tc>
        <w:tc>
          <w:tcPr>
            <w:tcW w:w="27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2340" w:type="dxa"/>
            <w:tcBorders>
              <w:top w:val="nil"/>
              <w:left w:val="nil"/>
              <w:bottom w:val="single" w:color="auto" w:sz="4" w:space="0"/>
              <w:right w:val="single" w:color="auto" w:sz="4" w:space="0"/>
            </w:tcBorders>
            <w:vAlign w:val="bottom"/>
          </w:tcPr>
          <w:p>
            <w:pPr>
              <w:widowControl/>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30205</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sz w:val="22"/>
                <w:szCs w:val="22"/>
              </w:rPr>
            </w:pPr>
            <w:r>
              <w:rPr>
                <w:rFonts w:hint="eastAsia" w:ascii="宋体" w:hAnsi="宋体"/>
                <w:color w:val="000000"/>
                <w:sz w:val="22"/>
                <w:szCs w:val="22"/>
              </w:rPr>
              <w:t>水费</w:t>
            </w:r>
          </w:p>
        </w:tc>
        <w:tc>
          <w:tcPr>
            <w:tcW w:w="25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4.000000</w:t>
            </w:r>
          </w:p>
        </w:tc>
        <w:tc>
          <w:tcPr>
            <w:tcW w:w="27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23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4.000000</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30206</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sz w:val="22"/>
                <w:szCs w:val="22"/>
              </w:rPr>
            </w:pPr>
            <w:r>
              <w:rPr>
                <w:rFonts w:hint="eastAsia" w:ascii="宋体" w:hAnsi="宋体"/>
                <w:color w:val="000000"/>
                <w:sz w:val="22"/>
                <w:szCs w:val="22"/>
              </w:rPr>
              <w:t>电费</w:t>
            </w:r>
          </w:p>
        </w:tc>
        <w:tc>
          <w:tcPr>
            <w:tcW w:w="25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1.500000</w:t>
            </w:r>
          </w:p>
        </w:tc>
        <w:tc>
          <w:tcPr>
            <w:tcW w:w="27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23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1.500000</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30207</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sz w:val="22"/>
                <w:szCs w:val="22"/>
              </w:rPr>
            </w:pPr>
            <w:r>
              <w:rPr>
                <w:rFonts w:hint="eastAsia" w:ascii="宋体" w:hAnsi="宋体"/>
                <w:color w:val="000000"/>
                <w:sz w:val="22"/>
                <w:szCs w:val="22"/>
              </w:rPr>
              <w:t>邮电费</w:t>
            </w:r>
          </w:p>
        </w:tc>
        <w:tc>
          <w:tcPr>
            <w:tcW w:w="25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4.000000</w:t>
            </w:r>
          </w:p>
        </w:tc>
        <w:tc>
          <w:tcPr>
            <w:tcW w:w="27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23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4.000000</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30208</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sz w:val="22"/>
                <w:szCs w:val="22"/>
              </w:rPr>
            </w:pPr>
            <w:r>
              <w:rPr>
                <w:rFonts w:hint="eastAsia" w:ascii="宋体" w:hAnsi="宋体"/>
                <w:color w:val="000000"/>
                <w:sz w:val="22"/>
                <w:szCs w:val="22"/>
              </w:rPr>
              <w:t>取暖费</w:t>
            </w:r>
          </w:p>
        </w:tc>
        <w:tc>
          <w:tcPr>
            <w:tcW w:w="25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34.330000</w:t>
            </w:r>
          </w:p>
        </w:tc>
        <w:tc>
          <w:tcPr>
            <w:tcW w:w="27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23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34.330000</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30209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sz w:val="22"/>
                <w:szCs w:val="22"/>
              </w:rPr>
            </w:pPr>
            <w:r>
              <w:rPr>
                <w:rFonts w:hint="eastAsia" w:ascii="宋体" w:hAnsi="宋体"/>
                <w:color w:val="000000"/>
                <w:sz w:val="22"/>
                <w:szCs w:val="22"/>
              </w:rPr>
              <w:t>物业管理费</w:t>
            </w:r>
          </w:p>
        </w:tc>
        <w:tc>
          <w:tcPr>
            <w:tcW w:w="2520" w:type="dxa"/>
            <w:tcBorders>
              <w:top w:val="nil"/>
              <w:left w:val="nil"/>
              <w:bottom w:val="single" w:color="auto" w:sz="4" w:space="0"/>
              <w:right w:val="single" w:color="auto" w:sz="4" w:space="0"/>
            </w:tcBorders>
            <w:vAlign w:val="bottom"/>
          </w:tcPr>
          <w:p>
            <w:pPr>
              <w:widowControl/>
              <w:jc w:val="center"/>
              <w:textAlignment w:val="center"/>
              <w:rPr>
                <w:rFonts w:ascii="宋体" w:hAnsi="宋体" w:cs="宋体"/>
                <w:color w:val="000000"/>
                <w:kern w:val="0"/>
                <w:sz w:val="18"/>
                <w:szCs w:val="18"/>
              </w:rPr>
            </w:pPr>
          </w:p>
        </w:tc>
        <w:tc>
          <w:tcPr>
            <w:tcW w:w="27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2340" w:type="dxa"/>
            <w:tcBorders>
              <w:top w:val="nil"/>
              <w:left w:val="nil"/>
              <w:bottom w:val="single" w:color="auto" w:sz="4" w:space="0"/>
              <w:right w:val="single" w:color="auto" w:sz="4" w:space="0"/>
            </w:tcBorders>
            <w:vAlign w:val="bottom"/>
          </w:tcPr>
          <w:p>
            <w:pPr>
              <w:widowControl/>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30211</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sz w:val="22"/>
                <w:szCs w:val="22"/>
              </w:rPr>
            </w:pPr>
            <w:r>
              <w:rPr>
                <w:rFonts w:hint="eastAsia" w:ascii="宋体" w:hAnsi="宋体"/>
                <w:color w:val="000000"/>
                <w:sz w:val="22"/>
                <w:szCs w:val="22"/>
              </w:rPr>
              <w:t>差旅费</w:t>
            </w:r>
          </w:p>
        </w:tc>
        <w:tc>
          <w:tcPr>
            <w:tcW w:w="25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8.100000</w:t>
            </w:r>
          </w:p>
        </w:tc>
        <w:tc>
          <w:tcPr>
            <w:tcW w:w="27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23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8.100000</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30212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sz w:val="22"/>
                <w:szCs w:val="22"/>
              </w:rPr>
            </w:pPr>
            <w:r>
              <w:rPr>
                <w:rFonts w:hint="eastAsia" w:ascii="宋体" w:hAnsi="宋体"/>
                <w:color w:val="000000"/>
                <w:sz w:val="22"/>
                <w:szCs w:val="22"/>
              </w:rPr>
              <w:t>因公出国（境）费用</w:t>
            </w:r>
          </w:p>
        </w:tc>
        <w:tc>
          <w:tcPr>
            <w:tcW w:w="2520" w:type="dxa"/>
            <w:tcBorders>
              <w:top w:val="nil"/>
              <w:left w:val="nil"/>
              <w:bottom w:val="single" w:color="auto" w:sz="4" w:space="0"/>
              <w:right w:val="single" w:color="auto" w:sz="4" w:space="0"/>
            </w:tcBorders>
            <w:vAlign w:val="bottom"/>
          </w:tcPr>
          <w:p>
            <w:pPr>
              <w:widowControl/>
              <w:jc w:val="center"/>
              <w:textAlignment w:val="center"/>
              <w:rPr>
                <w:rFonts w:ascii="宋体" w:hAnsi="宋体" w:cs="宋体"/>
                <w:color w:val="000000"/>
                <w:kern w:val="0"/>
                <w:sz w:val="18"/>
                <w:szCs w:val="18"/>
              </w:rPr>
            </w:pPr>
          </w:p>
        </w:tc>
        <w:tc>
          <w:tcPr>
            <w:tcW w:w="27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40" w:type="dxa"/>
            <w:tcBorders>
              <w:top w:val="nil"/>
              <w:left w:val="nil"/>
              <w:bottom w:val="single" w:color="auto" w:sz="4" w:space="0"/>
              <w:right w:val="single" w:color="auto" w:sz="4" w:space="0"/>
            </w:tcBorders>
            <w:vAlign w:val="bottom"/>
          </w:tcPr>
          <w:p>
            <w:pPr>
              <w:widowControl/>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30213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sz w:val="22"/>
                <w:szCs w:val="22"/>
              </w:rPr>
            </w:pPr>
            <w:r>
              <w:rPr>
                <w:rFonts w:hint="eastAsia" w:ascii="宋体" w:hAnsi="宋体"/>
                <w:color w:val="000000"/>
                <w:sz w:val="22"/>
                <w:szCs w:val="22"/>
              </w:rPr>
              <w:t>维修（护）费</w:t>
            </w:r>
          </w:p>
        </w:tc>
        <w:tc>
          <w:tcPr>
            <w:tcW w:w="25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3.000000</w:t>
            </w:r>
          </w:p>
        </w:tc>
        <w:tc>
          <w:tcPr>
            <w:tcW w:w="27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23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3.000000</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30214</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sz w:val="22"/>
                <w:szCs w:val="22"/>
              </w:rPr>
            </w:pPr>
            <w:r>
              <w:rPr>
                <w:rFonts w:hint="eastAsia" w:ascii="宋体" w:hAnsi="宋体"/>
                <w:color w:val="000000"/>
                <w:sz w:val="22"/>
                <w:szCs w:val="22"/>
              </w:rPr>
              <w:t>租赁费</w:t>
            </w:r>
          </w:p>
        </w:tc>
        <w:tc>
          <w:tcPr>
            <w:tcW w:w="2520" w:type="dxa"/>
            <w:tcBorders>
              <w:top w:val="nil"/>
              <w:left w:val="nil"/>
              <w:bottom w:val="single" w:color="auto" w:sz="4" w:space="0"/>
              <w:right w:val="single" w:color="auto" w:sz="4" w:space="0"/>
            </w:tcBorders>
            <w:vAlign w:val="bottom"/>
          </w:tcPr>
          <w:p>
            <w:pPr>
              <w:widowControl/>
              <w:jc w:val="center"/>
              <w:textAlignment w:val="center"/>
              <w:rPr>
                <w:rFonts w:ascii="宋体" w:hAnsi="宋体" w:cs="宋体"/>
                <w:color w:val="000000"/>
                <w:kern w:val="0"/>
                <w:sz w:val="18"/>
                <w:szCs w:val="18"/>
              </w:rPr>
            </w:pPr>
          </w:p>
        </w:tc>
        <w:tc>
          <w:tcPr>
            <w:tcW w:w="27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2340" w:type="dxa"/>
            <w:tcBorders>
              <w:top w:val="nil"/>
              <w:left w:val="nil"/>
              <w:bottom w:val="single" w:color="auto" w:sz="4" w:space="0"/>
              <w:right w:val="single" w:color="auto" w:sz="4" w:space="0"/>
            </w:tcBorders>
            <w:vAlign w:val="bottom"/>
          </w:tcPr>
          <w:p>
            <w:pPr>
              <w:widowControl/>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30215</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sz w:val="22"/>
                <w:szCs w:val="22"/>
              </w:rPr>
            </w:pPr>
            <w:r>
              <w:rPr>
                <w:rFonts w:hint="eastAsia" w:ascii="宋体" w:hAnsi="宋体"/>
                <w:color w:val="000000"/>
                <w:sz w:val="22"/>
                <w:szCs w:val="22"/>
              </w:rPr>
              <w:t>会议费</w:t>
            </w:r>
          </w:p>
        </w:tc>
        <w:tc>
          <w:tcPr>
            <w:tcW w:w="25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0.500000</w:t>
            </w:r>
          </w:p>
        </w:tc>
        <w:tc>
          <w:tcPr>
            <w:tcW w:w="27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23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0.500000</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30216</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sz w:val="22"/>
                <w:szCs w:val="22"/>
              </w:rPr>
            </w:pPr>
            <w:r>
              <w:rPr>
                <w:rFonts w:hint="eastAsia" w:ascii="宋体" w:hAnsi="宋体"/>
                <w:color w:val="000000"/>
                <w:sz w:val="22"/>
                <w:szCs w:val="22"/>
              </w:rPr>
              <w:t>培训费</w:t>
            </w:r>
          </w:p>
        </w:tc>
        <w:tc>
          <w:tcPr>
            <w:tcW w:w="25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0.400000</w:t>
            </w:r>
          </w:p>
        </w:tc>
        <w:tc>
          <w:tcPr>
            <w:tcW w:w="27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23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0.400000</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30217</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sz w:val="22"/>
                <w:szCs w:val="22"/>
              </w:rPr>
            </w:pPr>
            <w:r>
              <w:rPr>
                <w:rFonts w:hint="eastAsia" w:ascii="宋体" w:hAnsi="宋体"/>
                <w:color w:val="000000"/>
                <w:sz w:val="22"/>
                <w:szCs w:val="22"/>
              </w:rPr>
              <w:t>公务接待费</w:t>
            </w:r>
          </w:p>
        </w:tc>
        <w:tc>
          <w:tcPr>
            <w:tcW w:w="25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0.150000</w:t>
            </w:r>
          </w:p>
        </w:tc>
        <w:tc>
          <w:tcPr>
            <w:tcW w:w="27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23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0.150000</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30218</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sz w:val="22"/>
                <w:szCs w:val="22"/>
              </w:rPr>
            </w:pPr>
            <w:r>
              <w:rPr>
                <w:rFonts w:hint="eastAsia" w:ascii="宋体" w:hAnsi="宋体"/>
                <w:color w:val="000000"/>
                <w:sz w:val="22"/>
                <w:szCs w:val="22"/>
              </w:rPr>
              <w:t>专用材料费</w:t>
            </w:r>
          </w:p>
        </w:tc>
        <w:tc>
          <w:tcPr>
            <w:tcW w:w="2520" w:type="dxa"/>
            <w:tcBorders>
              <w:top w:val="nil"/>
              <w:left w:val="nil"/>
              <w:bottom w:val="single" w:color="auto" w:sz="4" w:space="0"/>
              <w:right w:val="single" w:color="auto" w:sz="4" w:space="0"/>
            </w:tcBorders>
            <w:vAlign w:val="bottom"/>
          </w:tcPr>
          <w:p>
            <w:pPr>
              <w:widowControl/>
              <w:jc w:val="center"/>
              <w:textAlignment w:val="center"/>
              <w:rPr>
                <w:rFonts w:ascii="宋体" w:hAnsi="宋体" w:cs="宋体"/>
                <w:color w:val="000000"/>
                <w:kern w:val="0"/>
                <w:sz w:val="18"/>
                <w:szCs w:val="18"/>
              </w:rPr>
            </w:pPr>
          </w:p>
        </w:tc>
        <w:tc>
          <w:tcPr>
            <w:tcW w:w="27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2340" w:type="dxa"/>
            <w:tcBorders>
              <w:top w:val="nil"/>
              <w:left w:val="nil"/>
              <w:bottom w:val="single" w:color="auto" w:sz="4" w:space="0"/>
              <w:right w:val="single" w:color="auto" w:sz="4" w:space="0"/>
            </w:tcBorders>
            <w:vAlign w:val="bottom"/>
          </w:tcPr>
          <w:p>
            <w:pPr>
              <w:widowControl/>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30224</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sz w:val="22"/>
                <w:szCs w:val="22"/>
              </w:rPr>
            </w:pPr>
            <w:r>
              <w:rPr>
                <w:rFonts w:hint="eastAsia" w:ascii="宋体" w:hAnsi="宋体"/>
                <w:color w:val="000000"/>
                <w:sz w:val="22"/>
                <w:szCs w:val="22"/>
              </w:rPr>
              <w:t>被装购置费</w:t>
            </w:r>
          </w:p>
        </w:tc>
        <w:tc>
          <w:tcPr>
            <w:tcW w:w="2520" w:type="dxa"/>
            <w:tcBorders>
              <w:top w:val="nil"/>
              <w:left w:val="nil"/>
              <w:bottom w:val="single" w:color="auto" w:sz="4" w:space="0"/>
              <w:right w:val="single" w:color="auto" w:sz="4" w:space="0"/>
            </w:tcBorders>
            <w:vAlign w:val="bottom"/>
          </w:tcPr>
          <w:p>
            <w:pPr>
              <w:widowControl/>
              <w:jc w:val="center"/>
              <w:textAlignment w:val="center"/>
              <w:rPr>
                <w:rFonts w:ascii="宋体" w:hAnsi="宋体" w:cs="宋体"/>
                <w:color w:val="000000"/>
                <w:kern w:val="0"/>
                <w:sz w:val="18"/>
                <w:szCs w:val="18"/>
              </w:rPr>
            </w:pPr>
          </w:p>
        </w:tc>
        <w:tc>
          <w:tcPr>
            <w:tcW w:w="27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2340" w:type="dxa"/>
            <w:tcBorders>
              <w:top w:val="nil"/>
              <w:left w:val="nil"/>
              <w:bottom w:val="single" w:color="auto" w:sz="4" w:space="0"/>
              <w:right w:val="single" w:color="auto" w:sz="4" w:space="0"/>
            </w:tcBorders>
            <w:vAlign w:val="bottom"/>
          </w:tcPr>
          <w:p>
            <w:pPr>
              <w:widowControl/>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30225</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sz w:val="22"/>
                <w:szCs w:val="22"/>
              </w:rPr>
            </w:pPr>
            <w:r>
              <w:rPr>
                <w:rFonts w:hint="eastAsia" w:ascii="宋体" w:hAnsi="宋体"/>
                <w:color w:val="000000"/>
                <w:sz w:val="22"/>
                <w:szCs w:val="22"/>
              </w:rPr>
              <w:t>专用燃料费</w:t>
            </w:r>
          </w:p>
        </w:tc>
        <w:tc>
          <w:tcPr>
            <w:tcW w:w="2520" w:type="dxa"/>
            <w:tcBorders>
              <w:top w:val="nil"/>
              <w:left w:val="nil"/>
              <w:bottom w:val="single" w:color="auto" w:sz="4" w:space="0"/>
              <w:right w:val="single" w:color="auto" w:sz="4" w:space="0"/>
            </w:tcBorders>
            <w:vAlign w:val="bottom"/>
          </w:tcPr>
          <w:p>
            <w:pPr>
              <w:widowControl/>
              <w:jc w:val="center"/>
              <w:textAlignment w:val="center"/>
              <w:rPr>
                <w:rFonts w:ascii="宋体" w:hAnsi="宋体" w:cs="宋体"/>
                <w:color w:val="000000"/>
                <w:kern w:val="0"/>
                <w:sz w:val="18"/>
                <w:szCs w:val="18"/>
              </w:rPr>
            </w:pPr>
          </w:p>
        </w:tc>
        <w:tc>
          <w:tcPr>
            <w:tcW w:w="27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2340" w:type="dxa"/>
            <w:tcBorders>
              <w:top w:val="nil"/>
              <w:left w:val="nil"/>
              <w:bottom w:val="single" w:color="auto" w:sz="4" w:space="0"/>
              <w:right w:val="single" w:color="auto" w:sz="4" w:space="0"/>
            </w:tcBorders>
            <w:vAlign w:val="bottom"/>
          </w:tcPr>
          <w:p>
            <w:pPr>
              <w:widowControl/>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30226</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sz w:val="22"/>
                <w:szCs w:val="22"/>
              </w:rPr>
            </w:pPr>
            <w:r>
              <w:rPr>
                <w:rFonts w:hint="eastAsia" w:ascii="宋体" w:hAnsi="宋体"/>
                <w:color w:val="000000"/>
                <w:sz w:val="22"/>
                <w:szCs w:val="22"/>
              </w:rPr>
              <w:t>劳务费</w:t>
            </w:r>
          </w:p>
        </w:tc>
        <w:tc>
          <w:tcPr>
            <w:tcW w:w="25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0.500000</w:t>
            </w:r>
          </w:p>
        </w:tc>
        <w:tc>
          <w:tcPr>
            <w:tcW w:w="27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23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0.500000</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30227</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sz w:val="22"/>
                <w:szCs w:val="22"/>
              </w:rPr>
            </w:pPr>
            <w:r>
              <w:rPr>
                <w:rFonts w:hint="eastAsia" w:ascii="宋体" w:hAnsi="宋体"/>
                <w:color w:val="000000"/>
                <w:sz w:val="22"/>
                <w:szCs w:val="22"/>
              </w:rPr>
              <w:t>委托业务费</w:t>
            </w:r>
          </w:p>
        </w:tc>
        <w:tc>
          <w:tcPr>
            <w:tcW w:w="25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0.860000</w:t>
            </w:r>
          </w:p>
        </w:tc>
        <w:tc>
          <w:tcPr>
            <w:tcW w:w="27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23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0.860000</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30228</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sz w:val="22"/>
                <w:szCs w:val="22"/>
              </w:rPr>
            </w:pPr>
            <w:r>
              <w:rPr>
                <w:rFonts w:hint="eastAsia" w:ascii="宋体" w:hAnsi="宋体"/>
                <w:color w:val="000000"/>
                <w:sz w:val="22"/>
                <w:szCs w:val="22"/>
              </w:rPr>
              <w:t>工会经费</w:t>
            </w:r>
          </w:p>
        </w:tc>
        <w:tc>
          <w:tcPr>
            <w:tcW w:w="25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9.910000</w:t>
            </w:r>
          </w:p>
        </w:tc>
        <w:tc>
          <w:tcPr>
            <w:tcW w:w="27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23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9.910000</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30229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sz w:val="22"/>
                <w:szCs w:val="22"/>
              </w:rPr>
            </w:pPr>
            <w:r>
              <w:rPr>
                <w:rFonts w:hint="eastAsia" w:ascii="宋体" w:hAnsi="宋体"/>
                <w:color w:val="000000"/>
                <w:sz w:val="22"/>
                <w:szCs w:val="22"/>
              </w:rPr>
              <w:t>福利费</w:t>
            </w:r>
          </w:p>
        </w:tc>
        <w:tc>
          <w:tcPr>
            <w:tcW w:w="2520" w:type="dxa"/>
            <w:tcBorders>
              <w:top w:val="nil"/>
              <w:left w:val="nil"/>
              <w:bottom w:val="single" w:color="auto" w:sz="4" w:space="0"/>
              <w:right w:val="single" w:color="auto" w:sz="4" w:space="0"/>
            </w:tcBorders>
            <w:vAlign w:val="bottom"/>
          </w:tcPr>
          <w:p>
            <w:pPr>
              <w:widowControl/>
              <w:jc w:val="center"/>
              <w:textAlignment w:val="center"/>
              <w:rPr>
                <w:rFonts w:ascii="宋体" w:hAnsi="宋体" w:cs="宋体"/>
                <w:color w:val="000000"/>
                <w:kern w:val="0"/>
                <w:sz w:val="18"/>
                <w:szCs w:val="18"/>
              </w:rPr>
            </w:pPr>
          </w:p>
        </w:tc>
        <w:tc>
          <w:tcPr>
            <w:tcW w:w="27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2340" w:type="dxa"/>
            <w:tcBorders>
              <w:top w:val="nil"/>
              <w:left w:val="nil"/>
              <w:bottom w:val="single" w:color="auto" w:sz="4" w:space="0"/>
              <w:right w:val="single" w:color="auto" w:sz="4" w:space="0"/>
            </w:tcBorders>
            <w:vAlign w:val="bottom"/>
          </w:tcPr>
          <w:p>
            <w:pPr>
              <w:widowControl/>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30231</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sz w:val="22"/>
                <w:szCs w:val="22"/>
              </w:rPr>
            </w:pPr>
            <w:r>
              <w:rPr>
                <w:rFonts w:hint="eastAsia" w:ascii="宋体" w:hAnsi="宋体"/>
                <w:color w:val="000000"/>
                <w:sz w:val="22"/>
                <w:szCs w:val="22"/>
              </w:rPr>
              <w:t>公务用车运行维护费</w:t>
            </w:r>
          </w:p>
        </w:tc>
        <w:tc>
          <w:tcPr>
            <w:tcW w:w="25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6.600000</w:t>
            </w:r>
          </w:p>
        </w:tc>
        <w:tc>
          <w:tcPr>
            <w:tcW w:w="27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23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6.600000</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30239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sz w:val="22"/>
                <w:szCs w:val="22"/>
              </w:rPr>
            </w:pPr>
            <w:r>
              <w:rPr>
                <w:rFonts w:hint="eastAsia" w:ascii="宋体" w:hAnsi="宋体"/>
                <w:color w:val="000000"/>
                <w:sz w:val="22"/>
                <w:szCs w:val="22"/>
              </w:rPr>
              <w:t>其他交通费用</w:t>
            </w:r>
          </w:p>
        </w:tc>
        <w:tc>
          <w:tcPr>
            <w:tcW w:w="25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1.430000</w:t>
            </w:r>
          </w:p>
        </w:tc>
        <w:tc>
          <w:tcPr>
            <w:tcW w:w="27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23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1.430000</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30240</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sz w:val="22"/>
                <w:szCs w:val="22"/>
              </w:rPr>
            </w:pPr>
            <w:r>
              <w:rPr>
                <w:rFonts w:hint="eastAsia" w:ascii="宋体" w:hAnsi="宋体"/>
                <w:color w:val="000000"/>
                <w:sz w:val="22"/>
                <w:szCs w:val="22"/>
              </w:rPr>
              <w:t>税金及附加费用</w:t>
            </w:r>
          </w:p>
        </w:tc>
        <w:tc>
          <w:tcPr>
            <w:tcW w:w="2520" w:type="dxa"/>
            <w:tcBorders>
              <w:top w:val="nil"/>
              <w:left w:val="nil"/>
              <w:bottom w:val="single" w:color="auto" w:sz="4" w:space="0"/>
              <w:right w:val="single" w:color="auto" w:sz="4" w:space="0"/>
            </w:tcBorders>
            <w:vAlign w:val="bottom"/>
          </w:tcPr>
          <w:p>
            <w:pPr>
              <w:widowControl/>
              <w:jc w:val="center"/>
              <w:textAlignment w:val="center"/>
              <w:rPr>
                <w:rFonts w:ascii="宋体" w:hAnsi="宋体" w:cs="宋体"/>
                <w:color w:val="000000"/>
                <w:kern w:val="0"/>
                <w:sz w:val="18"/>
                <w:szCs w:val="18"/>
              </w:rPr>
            </w:pPr>
          </w:p>
        </w:tc>
        <w:tc>
          <w:tcPr>
            <w:tcW w:w="27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2340" w:type="dxa"/>
            <w:tcBorders>
              <w:top w:val="nil"/>
              <w:left w:val="nil"/>
              <w:bottom w:val="single" w:color="auto" w:sz="4" w:space="0"/>
              <w:right w:val="single" w:color="auto" w:sz="4" w:space="0"/>
            </w:tcBorders>
            <w:vAlign w:val="bottom"/>
          </w:tcPr>
          <w:p>
            <w:pPr>
              <w:widowControl/>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30299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sz w:val="22"/>
                <w:szCs w:val="22"/>
              </w:rPr>
            </w:pPr>
            <w:r>
              <w:rPr>
                <w:rFonts w:hint="eastAsia" w:ascii="宋体" w:hAnsi="宋体"/>
                <w:color w:val="000000"/>
                <w:sz w:val="22"/>
                <w:szCs w:val="22"/>
              </w:rPr>
              <w:t>其他商品和服务支出</w:t>
            </w:r>
          </w:p>
        </w:tc>
        <w:tc>
          <w:tcPr>
            <w:tcW w:w="25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15.500000</w:t>
            </w:r>
          </w:p>
        </w:tc>
        <w:tc>
          <w:tcPr>
            <w:tcW w:w="27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23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15.500000</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303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b/>
                <w:bCs/>
                <w:color w:val="000000"/>
                <w:sz w:val="22"/>
                <w:szCs w:val="22"/>
              </w:rPr>
            </w:pPr>
            <w:r>
              <w:rPr>
                <w:rFonts w:hint="eastAsia" w:ascii="宋体" w:hAnsi="宋体"/>
                <w:b/>
                <w:bCs/>
                <w:color w:val="000000"/>
                <w:sz w:val="22"/>
                <w:szCs w:val="22"/>
              </w:rPr>
              <w:t>三、对个人和家庭的补助</w:t>
            </w:r>
          </w:p>
        </w:tc>
        <w:tc>
          <w:tcPr>
            <w:tcW w:w="25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38.380000</w:t>
            </w:r>
          </w:p>
        </w:tc>
        <w:tc>
          <w:tcPr>
            <w:tcW w:w="27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38.380000</w:t>
            </w:r>
          </w:p>
        </w:tc>
        <w:tc>
          <w:tcPr>
            <w:tcW w:w="23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30301</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sz w:val="22"/>
                <w:szCs w:val="22"/>
              </w:rPr>
            </w:pPr>
            <w:r>
              <w:rPr>
                <w:rFonts w:hint="eastAsia" w:ascii="宋体" w:hAnsi="宋体"/>
                <w:color w:val="000000"/>
                <w:sz w:val="22"/>
                <w:szCs w:val="22"/>
              </w:rPr>
              <w:t>离休费</w:t>
            </w:r>
          </w:p>
        </w:tc>
        <w:tc>
          <w:tcPr>
            <w:tcW w:w="2520" w:type="dxa"/>
            <w:tcBorders>
              <w:top w:val="nil"/>
              <w:left w:val="nil"/>
              <w:bottom w:val="single" w:color="auto" w:sz="4" w:space="0"/>
              <w:right w:val="single" w:color="auto" w:sz="4" w:space="0"/>
            </w:tcBorders>
            <w:vAlign w:val="bottom"/>
          </w:tcPr>
          <w:p>
            <w:pPr>
              <w:widowControl/>
              <w:jc w:val="center"/>
              <w:textAlignment w:val="center"/>
              <w:rPr>
                <w:rFonts w:ascii="宋体" w:hAnsi="宋体" w:cs="宋体"/>
                <w:color w:val="000000"/>
                <w:kern w:val="0"/>
                <w:sz w:val="18"/>
                <w:szCs w:val="18"/>
              </w:rPr>
            </w:pPr>
          </w:p>
        </w:tc>
        <w:tc>
          <w:tcPr>
            <w:tcW w:w="2700" w:type="dxa"/>
            <w:tcBorders>
              <w:top w:val="nil"/>
              <w:left w:val="nil"/>
              <w:bottom w:val="single" w:color="auto" w:sz="4" w:space="0"/>
              <w:right w:val="single" w:color="auto" w:sz="4" w:space="0"/>
            </w:tcBorders>
            <w:vAlign w:val="bottom"/>
          </w:tcPr>
          <w:p>
            <w:pPr>
              <w:widowControl/>
              <w:jc w:val="center"/>
              <w:textAlignment w:val="center"/>
              <w:rPr>
                <w:rFonts w:ascii="宋体" w:hAnsi="宋体" w:cs="宋体"/>
                <w:color w:val="000000"/>
                <w:kern w:val="0"/>
                <w:sz w:val="18"/>
                <w:szCs w:val="18"/>
              </w:rPr>
            </w:pPr>
          </w:p>
        </w:tc>
        <w:tc>
          <w:tcPr>
            <w:tcW w:w="23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30302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sz w:val="22"/>
                <w:szCs w:val="22"/>
              </w:rPr>
            </w:pPr>
            <w:r>
              <w:rPr>
                <w:rFonts w:hint="eastAsia" w:ascii="宋体" w:hAnsi="宋体"/>
                <w:color w:val="000000"/>
                <w:sz w:val="22"/>
                <w:szCs w:val="22"/>
              </w:rPr>
              <w:t>退休费</w:t>
            </w:r>
          </w:p>
        </w:tc>
        <w:tc>
          <w:tcPr>
            <w:tcW w:w="25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36.600000</w:t>
            </w:r>
          </w:p>
        </w:tc>
        <w:tc>
          <w:tcPr>
            <w:tcW w:w="2700" w:type="dxa"/>
            <w:tcBorders>
              <w:top w:val="nil"/>
              <w:left w:val="nil"/>
              <w:bottom w:val="single" w:color="auto" w:sz="4" w:space="0"/>
              <w:right w:val="single" w:color="auto" w:sz="4" w:space="0"/>
            </w:tcBorders>
            <w:vAlign w:val="bottom"/>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36.6</w:t>
            </w:r>
          </w:p>
        </w:tc>
        <w:tc>
          <w:tcPr>
            <w:tcW w:w="23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30303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sz w:val="22"/>
                <w:szCs w:val="22"/>
              </w:rPr>
            </w:pPr>
            <w:r>
              <w:rPr>
                <w:rFonts w:hint="eastAsia" w:ascii="宋体" w:hAnsi="宋体"/>
                <w:color w:val="000000"/>
                <w:sz w:val="22"/>
                <w:szCs w:val="22"/>
              </w:rPr>
              <w:t>退职（役）费</w:t>
            </w:r>
          </w:p>
        </w:tc>
        <w:tc>
          <w:tcPr>
            <w:tcW w:w="2520" w:type="dxa"/>
            <w:tcBorders>
              <w:top w:val="nil"/>
              <w:left w:val="nil"/>
              <w:bottom w:val="single" w:color="auto" w:sz="4" w:space="0"/>
              <w:right w:val="single" w:color="auto" w:sz="4" w:space="0"/>
            </w:tcBorders>
            <w:vAlign w:val="bottom"/>
          </w:tcPr>
          <w:p>
            <w:pPr>
              <w:widowControl/>
              <w:jc w:val="center"/>
              <w:textAlignment w:val="center"/>
              <w:rPr>
                <w:rFonts w:ascii="宋体" w:hAnsi="宋体" w:cs="宋体"/>
                <w:color w:val="000000"/>
                <w:kern w:val="0"/>
                <w:sz w:val="18"/>
                <w:szCs w:val="18"/>
              </w:rPr>
            </w:pPr>
          </w:p>
        </w:tc>
        <w:tc>
          <w:tcPr>
            <w:tcW w:w="2700" w:type="dxa"/>
            <w:tcBorders>
              <w:top w:val="nil"/>
              <w:left w:val="nil"/>
              <w:bottom w:val="single" w:color="auto" w:sz="4" w:space="0"/>
              <w:right w:val="single" w:color="auto" w:sz="4" w:space="0"/>
            </w:tcBorders>
            <w:vAlign w:val="bottom"/>
          </w:tcPr>
          <w:p>
            <w:pPr>
              <w:widowControl/>
              <w:jc w:val="center"/>
              <w:textAlignment w:val="center"/>
              <w:rPr>
                <w:rFonts w:ascii="宋体" w:hAnsi="宋体" w:cs="宋体"/>
                <w:color w:val="000000"/>
                <w:kern w:val="0"/>
                <w:sz w:val="18"/>
                <w:szCs w:val="18"/>
              </w:rPr>
            </w:pPr>
          </w:p>
        </w:tc>
        <w:tc>
          <w:tcPr>
            <w:tcW w:w="23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30304</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sz w:val="22"/>
                <w:szCs w:val="22"/>
              </w:rPr>
            </w:pPr>
            <w:r>
              <w:rPr>
                <w:rFonts w:hint="eastAsia" w:ascii="宋体" w:hAnsi="宋体"/>
                <w:color w:val="000000"/>
                <w:sz w:val="22"/>
                <w:szCs w:val="22"/>
              </w:rPr>
              <w:t>抚恤金</w:t>
            </w:r>
          </w:p>
        </w:tc>
        <w:tc>
          <w:tcPr>
            <w:tcW w:w="2520" w:type="dxa"/>
            <w:tcBorders>
              <w:top w:val="nil"/>
              <w:left w:val="nil"/>
              <w:bottom w:val="single" w:color="auto" w:sz="4" w:space="0"/>
              <w:right w:val="single" w:color="auto" w:sz="4" w:space="0"/>
            </w:tcBorders>
            <w:vAlign w:val="bottom"/>
          </w:tcPr>
          <w:p>
            <w:pPr>
              <w:widowControl/>
              <w:jc w:val="center"/>
              <w:textAlignment w:val="center"/>
              <w:rPr>
                <w:rFonts w:ascii="宋体" w:hAnsi="宋体" w:cs="宋体"/>
                <w:color w:val="000000"/>
                <w:kern w:val="0"/>
                <w:sz w:val="18"/>
                <w:szCs w:val="18"/>
              </w:rPr>
            </w:pPr>
          </w:p>
        </w:tc>
        <w:tc>
          <w:tcPr>
            <w:tcW w:w="2700" w:type="dxa"/>
            <w:tcBorders>
              <w:top w:val="nil"/>
              <w:left w:val="nil"/>
              <w:bottom w:val="single" w:color="auto" w:sz="4" w:space="0"/>
              <w:right w:val="single" w:color="auto" w:sz="4" w:space="0"/>
            </w:tcBorders>
            <w:vAlign w:val="bottom"/>
          </w:tcPr>
          <w:p>
            <w:pPr>
              <w:widowControl/>
              <w:jc w:val="center"/>
              <w:textAlignment w:val="center"/>
              <w:rPr>
                <w:rFonts w:ascii="宋体" w:hAnsi="宋体" w:cs="宋体"/>
                <w:color w:val="000000"/>
                <w:kern w:val="0"/>
                <w:sz w:val="18"/>
                <w:szCs w:val="18"/>
              </w:rPr>
            </w:pPr>
          </w:p>
        </w:tc>
        <w:tc>
          <w:tcPr>
            <w:tcW w:w="23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30305</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sz w:val="22"/>
                <w:szCs w:val="22"/>
              </w:rPr>
            </w:pPr>
            <w:r>
              <w:rPr>
                <w:rFonts w:hint="eastAsia" w:ascii="宋体" w:hAnsi="宋体"/>
                <w:color w:val="000000"/>
                <w:sz w:val="22"/>
                <w:szCs w:val="22"/>
              </w:rPr>
              <w:t>生活补助</w:t>
            </w:r>
          </w:p>
        </w:tc>
        <w:tc>
          <w:tcPr>
            <w:tcW w:w="25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1.780000</w:t>
            </w:r>
          </w:p>
        </w:tc>
        <w:tc>
          <w:tcPr>
            <w:tcW w:w="2700" w:type="dxa"/>
            <w:tcBorders>
              <w:top w:val="nil"/>
              <w:left w:val="nil"/>
              <w:bottom w:val="single" w:color="auto" w:sz="4" w:space="0"/>
              <w:right w:val="single" w:color="auto" w:sz="4" w:space="0"/>
            </w:tcBorders>
            <w:vAlign w:val="bottom"/>
          </w:tcPr>
          <w:p>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1.78</w:t>
            </w:r>
          </w:p>
        </w:tc>
        <w:tc>
          <w:tcPr>
            <w:tcW w:w="23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30306</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sz w:val="22"/>
                <w:szCs w:val="22"/>
              </w:rPr>
            </w:pPr>
            <w:r>
              <w:rPr>
                <w:rFonts w:hint="eastAsia" w:ascii="宋体" w:hAnsi="宋体"/>
                <w:color w:val="000000"/>
                <w:sz w:val="22"/>
                <w:szCs w:val="22"/>
              </w:rPr>
              <w:t>救济费</w:t>
            </w:r>
          </w:p>
        </w:tc>
        <w:tc>
          <w:tcPr>
            <w:tcW w:w="2520" w:type="dxa"/>
            <w:tcBorders>
              <w:top w:val="nil"/>
              <w:left w:val="nil"/>
              <w:bottom w:val="single" w:color="auto" w:sz="4" w:space="0"/>
              <w:right w:val="single" w:color="auto" w:sz="4" w:space="0"/>
            </w:tcBorders>
            <w:vAlign w:val="bottom"/>
          </w:tcPr>
          <w:p>
            <w:pPr>
              <w:widowControl/>
              <w:jc w:val="center"/>
              <w:textAlignment w:val="center"/>
              <w:rPr>
                <w:rFonts w:ascii="宋体" w:hAnsi="宋体" w:cs="宋体"/>
                <w:color w:val="000000"/>
                <w:kern w:val="0"/>
                <w:sz w:val="18"/>
                <w:szCs w:val="18"/>
              </w:rPr>
            </w:pPr>
          </w:p>
        </w:tc>
        <w:tc>
          <w:tcPr>
            <w:tcW w:w="2700" w:type="dxa"/>
            <w:tcBorders>
              <w:top w:val="nil"/>
              <w:left w:val="nil"/>
              <w:bottom w:val="single" w:color="auto" w:sz="4" w:space="0"/>
              <w:right w:val="single" w:color="auto" w:sz="4" w:space="0"/>
            </w:tcBorders>
            <w:vAlign w:val="bottom"/>
          </w:tcPr>
          <w:p>
            <w:pPr>
              <w:widowControl/>
              <w:jc w:val="center"/>
              <w:textAlignment w:val="center"/>
              <w:rPr>
                <w:rFonts w:ascii="宋体" w:hAnsi="宋体" w:cs="宋体"/>
                <w:color w:val="000000"/>
                <w:kern w:val="0"/>
                <w:sz w:val="18"/>
                <w:szCs w:val="18"/>
              </w:rPr>
            </w:pPr>
          </w:p>
        </w:tc>
        <w:tc>
          <w:tcPr>
            <w:tcW w:w="23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30307</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sz w:val="22"/>
                <w:szCs w:val="22"/>
              </w:rPr>
            </w:pPr>
            <w:r>
              <w:rPr>
                <w:rFonts w:hint="eastAsia" w:ascii="宋体" w:hAnsi="宋体"/>
                <w:color w:val="000000"/>
                <w:sz w:val="22"/>
                <w:szCs w:val="22"/>
              </w:rPr>
              <w:t>医疗费补助</w:t>
            </w:r>
          </w:p>
        </w:tc>
        <w:tc>
          <w:tcPr>
            <w:tcW w:w="2520" w:type="dxa"/>
            <w:tcBorders>
              <w:top w:val="nil"/>
              <w:left w:val="nil"/>
              <w:bottom w:val="single" w:color="auto" w:sz="4" w:space="0"/>
              <w:right w:val="single" w:color="auto" w:sz="4" w:space="0"/>
            </w:tcBorders>
            <w:vAlign w:val="bottom"/>
          </w:tcPr>
          <w:p>
            <w:pPr>
              <w:widowControl/>
              <w:jc w:val="center"/>
              <w:textAlignment w:val="center"/>
              <w:rPr>
                <w:rFonts w:ascii="宋体" w:hAnsi="宋体" w:cs="宋体"/>
                <w:color w:val="000000"/>
                <w:kern w:val="0"/>
                <w:sz w:val="18"/>
                <w:szCs w:val="18"/>
              </w:rPr>
            </w:pPr>
          </w:p>
        </w:tc>
        <w:tc>
          <w:tcPr>
            <w:tcW w:w="2700" w:type="dxa"/>
            <w:tcBorders>
              <w:top w:val="nil"/>
              <w:left w:val="nil"/>
              <w:bottom w:val="single" w:color="auto" w:sz="4" w:space="0"/>
              <w:right w:val="single" w:color="auto" w:sz="4" w:space="0"/>
            </w:tcBorders>
            <w:vAlign w:val="bottom"/>
          </w:tcPr>
          <w:p>
            <w:pPr>
              <w:widowControl/>
              <w:jc w:val="center"/>
              <w:textAlignment w:val="center"/>
              <w:rPr>
                <w:rFonts w:ascii="宋体" w:hAnsi="宋体" w:cs="宋体"/>
                <w:color w:val="000000"/>
                <w:kern w:val="0"/>
                <w:sz w:val="18"/>
                <w:szCs w:val="18"/>
              </w:rPr>
            </w:pPr>
          </w:p>
        </w:tc>
        <w:tc>
          <w:tcPr>
            <w:tcW w:w="23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30308</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sz w:val="22"/>
                <w:szCs w:val="22"/>
              </w:rPr>
            </w:pPr>
            <w:r>
              <w:rPr>
                <w:rFonts w:hint="eastAsia" w:ascii="宋体" w:hAnsi="宋体"/>
                <w:color w:val="000000"/>
                <w:sz w:val="22"/>
                <w:szCs w:val="22"/>
              </w:rPr>
              <w:t>助学金</w:t>
            </w:r>
          </w:p>
        </w:tc>
        <w:tc>
          <w:tcPr>
            <w:tcW w:w="2520" w:type="dxa"/>
            <w:tcBorders>
              <w:top w:val="nil"/>
              <w:left w:val="nil"/>
              <w:bottom w:val="single" w:color="auto" w:sz="4" w:space="0"/>
              <w:right w:val="single" w:color="auto" w:sz="4" w:space="0"/>
            </w:tcBorders>
            <w:vAlign w:val="bottom"/>
          </w:tcPr>
          <w:p>
            <w:pPr>
              <w:widowControl/>
              <w:jc w:val="center"/>
              <w:textAlignment w:val="center"/>
              <w:rPr>
                <w:rFonts w:ascii="宋体" w:hAnsi="宋体" w:cs="宋体"/>
                <w:color w:val="000000"/>
                <w:kern w:val="0"/>
                <w:sz w:val="18"/>
                <w:szCs w:val="18"/>
              </w:rPr>
            </w:pPr>
          </w:p>
        </w:tc>
        <w:tc>
          <w:tcPr>
            <w:tcW w:w="2700" w:type="dxa"/>
            <w:tcBorders>
              <w:top w:val="nil"/>
              <w:left w:val="nil"/>
              <w:bottom w:val="single" w:color="auto" w:sz="4" w:space="0"/>
              <w:right w:val="single" w:color="auto" w:sz="4" w:space="0"/>
            </w:tcBorders>
            <w:vAlign w:val="bottom"/>
          </w:tcPr>
          <w:p>
            <w:pPr>
              <w:widowControl/>
              <w:jc w:val="center"/>
              <w:textAlignment w:val="center"/>
              <w:rPr>
                <w:rFonts w:ascii="宋体" w:hAnsi="宋体" w:cs="宋体"/>
                <w:color w:val="000000"/>
                <w:kern w:val="0"/>
                <w:sz w:val="18"/>
                <w:szCs w:val="18"/>
              </w:rPr>
            </w:pPr>
          </w:p>
        </w:tc>
        <w:tc>
          <w:tcPr>
            <w:tcW w:w="23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30309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sz w:val="22"/>
                <w:szCs w:val="22"/>
              </w:rPr>
            </w:pPr>
            <w:r>
              <w:rPr>
                <w:rFonts w:hint="eastAsia" w:ascii="宋体" w:hAnsi="宋体"/>
                <w:color w:val="000000"/>
                <w:sz w:val="22"/>
                <w:szCs w:val="22"/>
              </w:rPr>
              <w:t>奖励金</w:t>
            </w:r>
          </w:p>
        </w:tc>
        <w:tc>
          <w:tcPr>
            <w:tcW w:w="2520" w:type="dxa"/>
            <w:tcBorders>
              <w:top w:val="nil"/>
              <w:left w:val="nil"/>
              <w:bottom w:val="single" w:color="auto" w:sz="4" w:space="0"/>
              <w:right w:val="single" w:color="auto" w:sz="4" w:space="0"/>
            </w:tcBorders>
            <w:vAlign w:val="bottom"/>
          </w:tcPr>
          <w:p>
            <w:pPr>
              <w:widowControl/>
              <w:jc w:val="center"/>
              <w:textAlignment w:val="center"/>
              <w:rPr>
                <w:rFonts w:ascii="宋体" w:hAnsi="宋体" w:cs="宋体"/>
                <w:color w:val="000000"/>
                <w:kern w:val="0"/>
                <w:sz w:val="18"/>
                <w:szCs w:val="18"/>
              </w:rPr>
            </w:pPr>
          </w:p>
        </w:tc>
        <w:tc>
          <w:tcPr>
            <w:tcW w:w="2700" w:type="dxa"/>
            <w:tcBorders>
              <w:top w:val="nil"/>
              <w:left w:val="nil"/>
              <w:bottom w:val="single" w:color="auto" w:sz="4" w:space="0"/>
              <w:right w:val="single" w:color="auto" w:sz="4" w:space="0"/>
            </w:tcBorders>
            <w:vAlign w:val="bottom"/>
          </w:tcPr>
          <w:p>
            <w:pPr>
              <w:widowControl/>
              <w:jc w:val="center"/>
              <w:textAlignment w:val="center"/>
              <w:rPr>
                <w:rFonts w:ascii="宋体" w:hAnsi="宋体" w:cs="宋体"/>
                <w:color w:val="000000"/>
                <w:kern w:val="0"/>
                <w:sz w:val="18"/>
                <w:szCs w:val="18"/>
              </w:rPr>
            </w:pPr>
          </w:p>
        </w:tc>
        <w:tc>
          <w:tcPr>
            <w:tcW w:w="23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30310</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sz w:val="22"/>
                <w:szCs w:val="22"/>
              </w:rPr>
            </w:pPr>
            <w:r>
              <w:rPr>
                <w:rFonts w:hint="eastAsia" w:ascii="宋体" w:hAnsi="宋体"/>
                <w:color w:val="000000"/>
                <w:sz w:val="22"/>
                <w:szCs w:val="22"/>
              </w:rPr>
              <w:t>个人农业生产补贴</w:t>
            </w:r>
          </w:p>
        </w:tc>
        <w:tc>
          <w:tcPr>
            <w:tcW w:w="2520" w:type="dxa"/>
            <w:tcBorders>
              <w:top w:val="nil"/>
              <w:left w:val="nil"/>
              <w:bottom w:val="single" w:color="auto" w:sz="4" w:space="0"/>
              <w:right w:val="single" w:color="auto" w:sz="4" w:space="0"/>
            </w:tcBorders>
            <w:vAlign w:val="bottom"/>
          </w:tcPr>
          <w:p>
            <w:pPr>
              <w:widowControl/>
              <w:jc w:val="center"/>
              <w:textAlignment w:val="center"/>
              <w:rPr>
                <w:rFonts w:ascii="宋体" w:hAnsi="宋体" w:cs="宋体"/>
                <w:color w:val="000000"/>
                <w:kern w:val="0"/>
                <w:sz w:val="18"/>
                <w:szCs w:val="18"/>
              </w:rPr>
            </w:pPr>
          </w:p>
        </w:tc>
        <w:tc>
          <w:tcPr>
            <w:tcW w:w="2700" w:type="dxa"/>
            <w:tcBorders>
              <w:top w:val="nil"/>
              <w:left w:val="nil"/>
              <w:bottom w:val="single" w:color="auto" w:sz="4" w:space="0"/>
              <w:right w:val="single" w:color="auto" w:sz="4" w:space="0"/>
            </w:tcBorders>
            <w:vAlign w:val="bottom"/>
          </w:tcPr>
          <w:p>
            <w:pPr>
              <w:widowControl/>
              <w:jc w:val="center"/>
              <w:textAlignment w:val="center"/>
              <w:rPr>
                <w:rFonts w:ascii="宋体" w:hAnsi="宋体" w:cs="宋体"/>
                <w:color w:val="000000"/>
                <w:kern w:val="0"/>
                <w:sz w:val="18"/>
                <w:szCs w:val="18"/>
              </w:rPr>
            </w:pPr>
          </w:p>
        </w:tc>
        <w:tc>
          <w:tcPr>
            <w:tcW w:w="23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30399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sz w:val="22"/>
                <w:szCs w:val="22"/>
              </w:rPr>
            </w:pPr>
            <w:r>
              <w:rPr>
                <w:rFonts w:hint="eastAsia" w:ascii="宋体" w:hAnsi="宋体"/>
                <w:color w:val="000000"/>
                <w:sz w:val="22"/>
                <w:szCs w:val="22"/>
              </w:rPr>
              <w:t>其他对个人和家庭的补助支出</w:t>
            </w:r>
          </w:p>
        </w:tc>
        <w:tc>
          <w:tcPr>
            <w:tcW w:w="2520" w:type="dxa"/>
            <w:tcBorders>
              <w:top w:val="nil"/>
              <w:left w:val="nil"/>
              <w:bottom w:val="single" w:color="auto" w:sz="4" w:space="0"/>
              <w:right w:val="single" w:color="auto" w:sz="4" w:space="0"/>
            </w:tcBorders>
            <w:vAlign w:val="bottom"/>
          </w:tcPr>
          <w:p>
            <w:pPr>
              <w:widowControl/>
              <w:jc w:val="center"/>
              <w:textAlignment w:val="center"/>
              <w:rPr>
                <w:rFonts w:ascii="宋体" w:hAnsi="宋体" w:cs="宋体"/>
                <w:color w:val="000000"/>
                <w:kern w:val="0"/>
                <w:sz w:val="18"/>
                <w:szCs w:val="18"/>
              </w:rPr>
            </w:pPr>
          </w:p>
        </w:tc>
        <w:tc>
          <w:tcPr>
            <w:tcW w:w="2700" w:type="dxa"/>
            <w:tcBorders>
              <w:top w:val="nil"/>
              <w:left w:val="nil"/>
              <w:bottom w:val="single" w:color="auto" w:sz="4" w:space="0"/>
              <w:right w:val="single" w:color="auto" w:sz="4" w:space="0"/>
            </w:tcBorders>
            <w:vAlign w:val="bottom"/>
          </w:tcPr>
          <w:p>
            <w:pPr>
              <w:widowControl/>
              <w:jc w:val="center"/>
              <w:textAlignment w:val="center"/>
              <w:rPr>
                <w:rFonts w:ascii="宋体" w:hAnsi="宋体" w:cs="宋体"/>
                <w:color w:val="000000"/>
                <w:kern w:val="0"/>
                <w:sz w:val="18"/>
                <w:szCs w:val="18"/>
              </w:rPr>
            </w:pPr>
          </w:p>
        </w:tc>
        <w:tc>
          <w:tcPr>
            <w:tcW w:w="23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310</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b/>
                <w:bCs/>
                <w:color w:val="000000"/>
                <w:sz w:val="22"/>
                <w:szCs w:val="22"/>
              </w:rPr>
            </w:pPr>
            <w:r>
              <w:rPr>
                <w:rFonts w:hint="eastAsia" w:ascii="宋体" w:hAnsi="宋体"/>
                <w:b/>
                <w:bCs/>
                <w:color w:val="000000"/>
                <w:sz w:val="22"/>
                <w:szCs w:val="22"/>
              </w:rPr>
              <w:t>四、资本性支出</w:t>
            </w:r>
          </w:p>
        </w:tc>
        <w:tc>
          <w:tcPr>
            <w:tcW w:w="25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1.500000</w:t>
            </w:r>
          </w:p>
        </w:tc>
        <w:tc>
          <w:tcPr>
            <w:tcW w:w="27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23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1.500000</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31002</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sz w:val="22"/>
                <w:szCs w:val="22"/>
              </w:rPr>
            </w:pPr>
            <w:r>
              <w:rPr>
                <w:rFonts w:hint="eastAsia" w:ascii="宋体" w:hAnsi="宋体"/>
                <w:color w:val="000000"/>
                <w:sz w:val="22"/>
                <w:szCs w:val="22"/>
              </w:rPr>
              <w:t>办公设备购置</w:t>
            </w:r>
          </w:p>
        </w:tc>
        <w:tc>
          <w:tcPr>
            <w:tcW w:w="25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1.500000</w:t>
            </w:r>
          </w:p>
        </w:tc>
        <w:tc>
          <w:tcPr>
            <w:tcW w:w="27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234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0.5</w:t>
            </w: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31003</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sz w:val="22"/>
                <w:szCs w:val="22"/>
              </w:rPr>
            </w:pPr>
            <w:r>
              <w:rPr>
                <w:rFonts w:hint="eastAsia" w:ascii="宋体" w:hAnsi="宋体"/>
                <w:color w:val="000000"/>
                <w:sz w:val="22"/>
                <w:szCs w:val="22"/>
              </w:rPr>
              <w:t>专用设备购置</w:t>
            </w:r>
          </w:p>
        </w:tc>
        <w:tc>
          <w:tcPr>
            <w:tcW w:w="2520" w:type="dxa"/>
            <w:tcBorders>
              <w:top w:val="nil"/>
              <w:left w:val="nil"/>
              <w:bottom w:val="single" w:color="auto" w:sz="4" w:space="0"/>
              <w:right w:val="single" w:color="auto" w:sz="4" w:space="0"/>
            </w:tcBorders>
            <w:vAlign w:val="bottom"/>
          </w:tcPr>
          <w:p>
            <w:pPr>
              <w:widowControl/>
              <w:jc w:val="center"/>
              <w:textAlignment w:val="center"/>
              <w:rPr>
                <w:rFonts w:ascii="宋体" w:hAnsi="宋体" w:cs="宋体"/>
                <w:color w:val="000000"/>
                <w:kern w:val="0"/>
                <w:sz w:val="18"/>
                <w:szCs w:val="18"/>
              </w:rPr>
            </w:pPr>
          </w:p>
        </w:tc>
        <w:tc>
          <w:tcPr>
            <w:tcW w:w="27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2340" w:type="dxa"/>
            <w:tcBorders>
              <w:top w:val="nil"/>
              <w:left w:val="nil"/>
              <w:bottom w:val="single" w:color="auto" w:sz="4" w:space="0"/>
              <w:right w:val="single" w:color="auto" w:sz="4" w:space="0"/>
            </w:tcBorders>
            <w:vAlign w:val="bottom"/>
          </w:tcPr>
          <w:p>
            <w:pPr>
              <w:widowControl/>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31007</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sz w:val="22"/>
                <w:szCs w:val="22"/>
              </w:rPr>
            </w:pPr>
            <w:r>
              <w:rPr>
                <w:rFonts w:hint="eastAsia" w:ascii="宋体" w:hAnsi="宋体"/>
                <w:color w:val="000000"/>
                <w:sz w:val="22"/>
                <w:szCs w:val="22"/>
              </w:rPr>
              <w:t>信息网络及软件购置更新</w:t>
            </w:r>
          </w:p>
        </w:tc>
        <w:tc>
          <w:tcPr>
            <w:tcW w:w="2520" w:type="dxa"/>
            <w:tcBorders>
              <w:top w:val="nil"/>
              <w:left w:val="nil"/>
              <w:bottom w:val="single" w:color="auto" w:sz="4" w:space="0"/>
              <w:right w:val="single" w:color="auto" w:sz="4" w:space="0"/>
            </w:tcBorders>
            <w:vAlign w:val="bottom"/>
          </w:tcPr>
          <w:p>
            <w:pPr>
              <w:widowControl/>
              <w:jc w:val="center"/>
              <w:textAlignment w:val="center"/>
              <w:rPr>
                <w:rFonts w:ascii="宋体" w:hAnsi="宋体" w:cs="宋体"/>
                <w:color w:val="000000"/>
                <w:kern w:val="0"/>
                <w:sz w:val="18"/>
                <w:szCs w:val="18"/>
              </w:rPr>
            </w:pPr>
          </w:p>
        </w:tc>
        <w:tc>
          <w:tcPr>
            <w:tcW w:w="27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2340" w:type="dxa"/>
            <w:tcBorders>
              <w:top w:val="nil"/>
              <w:left w:val="nil"/>
              <w:bottom w:val="single" w:color="auto" w:sz="4" w:space="0"/>
              <w:right w:val="single" w:color="auto" w:sz="4" w:space="0"/>
            </w:tcBorders>
            <w:vAlign w:val="bottom"/>
          </w:tcPr>
          <w:p>
            <w:pPr>
              <w:widowControl/>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113" w:hRule="atLeast"/>
          <w:tblHeader/>
        </w:trPr>
        <w:tc>
          <w:tcPr>
            <w:tcW w:w="2357"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 w:val="22"/>
                <w:szCs w:val="22"/>
              </w:rPr>
            </w:pPr>
            <w:r>
              <w:rPr>
                <w:rFonts w:hint="eastAsia" w:ascii="宋体" w:hAnsi="宋体"/>
                <w:color w:val="000000"/>
                <w:sz w:val="22"/>
                <w:szCs w:val="22"/>
              </w:rPr>
              <w:t>31099</w:t>
            </w:r>
          </w:p>
        </w:tc>
        <w:tc>
          <w:tcPr>
            <w:tcW w:w="3600" w:type="dxa"/>
            <w:tcBorders>
              <w:top w:val="nil"/>
              <w:left w:val="nil"/>
              <w:bottom w:val="single" w:color="auto" w:sz="4" w:space="0"/>
              <w:right w:val="single" w:color="auto" w:sz="4" w:space="0"/>
            </w:tcBorders>
            <w:vAlign w:val="center"/>
          </w:tcPr>
          <w:p>
            <w:pPr>
              <w:spacing w:line="360" w:lineRule="exact"/>
              <w:rPr>
                <w:rFonts w:ascii="宋体" w:hAnsi="宋体" w:cs="宋体"/>
                <w:color w:val="000000"/>
                <w:sz w:val="22"/>
                <w:szCs w:val="22"/>
              </w:rPr>
            </w:pPr>
            <w:r>
              <w:rPr>
                <w:rFonts w:hint="eastAsia" w:ascii="宋体" w:hAnsi="宋体"/>
                <w:color w:val="000000"/>
                <w:sz w:val="22"/>
                <w:szCs w:val="22"/>
              </w:rPr>
              <w:t>其他资本性支出</w:t>
            </w:r>
          </w:p>
        </w:tc>
        <w:tc>
          <w:tcPr>
            <w:tcW w:w="2520" w:type="dxa"/>
            <w:tcBorders>
              <w:top w:val="nil"/>
              <w:left w:val="nil"/>
              <w:bottom w:val="single" w:color="auto" w:sz="4" w:space="0"/>
              <w:right w:val="single" w:color="auto" w:sz="4" w:space="0"/>
            </w:tcBorders>
            <w:vAlign w:val="center"/>
          </w:tcPr>
          <w:p>
            <w:pPr>
              <w:widowControl/>
              <w:jc w:val="center"/>
              <w:textAlignment w:val="bottom"/>
              <w:rPr>
                <w:rFonts w:ascii="Arial" w:hAnsi="Arial" w:cs="Arial"/>
                <w:color w:val="000000"/>
                <w:kern w:val="0"/>
                <w:sz w:val="20"/>
              </w:rPr>
            </w:pPr>
          </w:p>
        </w:tc>
        <w:tc>
          <w:tcPr>
            <w:tcW w:w="2700" w:type="dxa"/>
            <w:tcBorders>
              <w:top w:val="nil"/>
              <w:left w:val="nil"/>
              <w:bottom w:val="single" w:color="auto" w:sz="4" w:space="0"/>
              <w:right w:val="single" w:color="auto" w:sz="4" w:space="0"/>
            </w:tcBorders>
            <w:vAlign w:val="center"/>
          </w:tcPr>
          <w:p>
            <w:pPr>
              <w:widowControl/>
              <w:jc w:val="center"/>
              <w:textAlignment w:val="bottom"/>
              <w:rPr>
                <w:rFonts w:ascii="Arial" w:hAnsi="Arial" w:cs="Arial"/>
                <w:color w:val="000000"/>
                <w:kern w:val="0"/>
                <w:sz w:val="20"/>
              </w:rPr>
            </w:pPr>
          </w:p>
        </w:tc>
        <w:tc>
          <w:tcPr>
            <w:tcW w:w="2340" w:type="dxa"/>
            <w:tcBorders>
              <w:top w:val="nil"/>
              <w:left w:val="nil"/>
              <w:bottom w:val="single" w:color="auto" w:sz="4" w:space="0"/>
              <w:right w:val="single" w:color="auto" w:sz="4" w:space="0"/>
            </w:tcBorders>
            <w:vAlign w:val="center"/>
          </w:tcPr>
          <w:p>
            <w:pPr>
              <w:widowControl/>
              <w:jc w:val="center"/>
              <w:textAlignment w:val="bottom"/>
              <w:rPr>
                <w:rFonts w:ascii="Arial" w:hAnsi="Arial" w:cs="Arial"/>
                <w:color w:val="000000"/>
                <w:kern w:val="0"/>
                <w:sz w:val="20"/>
              </w:rPr>
            </w:pPr>
          </w:p>
        </w:tc>
      </w:tr>
    </w:tbl>
    <w:p>
      <w:pPr>
        <w:widowControl/>
        <w:ind w:firstLine="640" w:firstLineChars="200"/>
        <w:outlineLvl w:val="1"/>
        <w:rPr>
          <w:rFonts w:ascii="黑体" w:hAnsi="宋体" w:eastAsia="黑体"/>
          <w:bCs/>
          <w:color w:val="000000"/>
          <w:kern w:val="0"/>
          <w:sz w:val="32"/>
          <w:szCs w:val="32"/>
        </w:rPr>
      </w:pPr>
      <w:r>
        <w:rPr>
          <w:rFonts w:hint="eastAsia" w:ascii="黑体" w:hAnsi="宋体" w:eastAsia="黑体"/>
          <w:bCs/>
          <w:color w:val="000000"/>
          <w:kern w:val="0"/>
          <w:sz w:val="32"/>
          <w:szCs w:val="32"/>
        </w:rPr>
        <w:br w:type="page"/>
      </w:r>
      <w:r>
        <w:rPr>
          <w:rFonts w:hint="eastAsia" w:ascii="黑体" w:hAnsi="宋体" w:eastAsia="黑体"/>
          <w:bCs/>
          <w:color w:val="000000"/>
          <w:kern w:val="0"/>
          <w:sz w:val="32"/>
          <w:szCs w:val="32"/>
        </w:rPr>
        <w:t>四、一般公共预算财政拨款“三公”经费支出表</w:t>
      </w:r>
    </w:p>
    <w:p>
      <w:pPr>
        <w:widowControl/>
        <w:ind w:firstLine="720" w:firstLineChars="200"/>
        <w:jc w:val="center"/>
        <w:outlineLvl w:val="1"/>
        <w:rPr>
          <w:rFonts w:ascii="仿宋_GB2312" w:hAnsi="宋体" w:eastAsia="仿宋_GB2312"/>
          <w:b/>
          <w:color w:val="000000"/>
          <w:kern w:val="0"/>
          <w:sz w:val="36"/>
          <w:szCs w:val="36"/>
        </w:rPr>
      </w:pPr>
      <w:r>
        <w:rPr>
          <w:rFonts w:hint="eastAsia" w:ascii="仿宋_GB2312" w:hAnsi="宋体" w:eastAsia="仿宋_GB2312"/>
          <w:b/>
          <w:color w:val="000000"/>
          <w:kern w:val="0"/>
          <w:sz w:val="36"/>
          <w:szCs w:val="36"/>
        </w:rPr>
        <w:t>一般公共预算财政拨款“三公”经费支出表</w:t>
      </w:r>
    </w:p>
    <w:p>
      <w:pPr>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 xml:space="preserve">                                                                            单位：万元</w:t>
      </w:r>
    </w:p>
    <w:tbl>
      <w:tblPr>
        <w:tblStyle w:val="8"/>
        <w:tblW w:w="0" w:type="auto"/>
        <w:tblInd w:w="91" w:type="dxa"/>
        <w:tblLayout w:type="fixed"/>
        <w:tblCellMar>
          <w:top w:w="0" w:type="dxa"/>
          <w:left w:w="108" w:type="dxa"/>
          <w:bottom w:w="0" w:type="dxa"/>
          <w:right w:w="108" w:type="dxa"/>
        </w:tblCellMar>
      </w:tblPr>
      <w:tblGrid>
        <w:gridCol w:w="771"/>
        <w:gridCol w:w="771"/>
        <w:gridCol w:w="771"/>
        <w:gridCol w:w="771"/>
        <w:gridCol w:w="771"/>
        <w:gridCol w:w="771"/>
        <w:gridCol w:w="771"/>
        <w:gridCol w:w="771"/>
        <w:gridCol w:w="771"/>
        <w:gridCol w:w="771"/>
        <w:gridCol w:w="771"/>
        <w:gridCol w:w="771"/>
        <w:gridCol w:w="771"/>
        <w:gridCol w:w="771"/>
        <w:gridCol w:w="771"/>
        <w:gridCol w:w="771"/>
        <w:gridCol w:w="771"/>
        <w:gridCol w:w="771"/>
      </w:tblGrid>
      <w:tr>
        <w:tblPrEx>
          <w:tblCellMar>
            <w:top w:w="0" w:type="dxa"/>
            <w:left w:w="108" w:type="dxa"/>
            <w:bottom w:w="0" w:type="dxa"/>
            <w:right w:w="108" w:type="dxa"/>
          </w:tblCellMar>
        </w:tblPrEx>
        <w:trPr>
          <w:trHeight w:val="555" w:hRule="atLeast"/>
        </w:trPr>
        <w:tc>
          <w:tcPr>
            <w:tcW w:w="4626"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2020年预算数</w:t>
            </w:r>
          </w:p>
        </w:tc>
        <w:tc>
          <w:tcPr>
            <w:tcW w:w="4626"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2020年执行数（决算数）</w:t>
            </w:r>
          </w:p>
        </w:tc>
        <w:tc>
          <w:tcPr>
            <w:tcW w:w="4626"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2021年预算数</w:t>
            </w:r>
          </w:p>
        </w:tc>
      </w:tr>
      <w:tr>
        <w:tblPrEx>
          <w:tblCellMar>
            <w:top w:w="0" w:type="dxa"/>
            <w:left w:w="108" w:type="dxa"/>
            <w:bottom w:w="0" w:type="dxa"/>
            <w:right w:w="108" w:type="dxa"/>
          </w:tblCellMar>
        </w:tblPrEx>
        <w:trPr>
          <w:trHeight w:val="1170" w:hRule="atLeast"/>
        </w:trPr>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因公出国（境）费</w:t>
            </w:r>
          </w:p>
        </w:tc>
        <w:tc>
          <w:tcPr>
            <w:tcW w:w="2313"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因公出国（境）费</w:t>
            </w:r>
          </w:p>
        </w:tc>
        <w:tc>
          <w:tcPr>
            <w:tcW w:w="2313"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因公出国（境）费</w:t>
            </w:r>
          </w:p>
        </w:tc>
        <w:tc>
          <w:tcPr>
            <w:tcW w:w="2313"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1170" w:hRule="atLeast"/>
        </w:trPr>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小计</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小计</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小计</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77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13.00</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0</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8.00</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0</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8.00</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5.00</w:t>
            </w:r>
          </w:p>
        </w:tc>
        <w:tc>
          <w:tcPr>
            <w:tcW w:w="771" w:type="dxa"/>
            <w:tcBorders>
              <w:top w:val="nil"/>
              <w:left w:val="nil"/>
              <w:bottom w:val="single" w:color="auto" w:sz="4" w:space="0"/>
              <w:right w:val="single" w:color="auto" w:sz="4" w:space="0"/>
            </w:tcBorders>
            <w:vAlign w:val="center"/>
          </w:tcPr>
          <w:p>
            <w:pPr>
              <w:widowControl/>
              <w:jc w:val="right"/>
              <w:textAlignment w:val="center"/>
              <w:rPr>
                <w:rFonts w:ascii="宋体" w:hAnsi="宋体" w:cs="宋体"/>
                <w:color w:val="000000"/>
                <w:kern w:val="0"/>
                <w:sz w:val="22"/>
                <w:szCs w:val="18"/>
              </w:rPr>
            </w:pPr>
            <w:r>
              <w:rPr>
                <w:rFonts w:hint="eastAsia" w:ascii="宋体" w:hAnsi="宋体" w:cs="宋体"/>
                <w:color w:val="000000"/>
                <w:kern w:val="0"/>
                <w:sz w:val="22"/>
                <w:szCs w:val="22"/>
              </w:rPr>
              <w:t>22.17</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0</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22.17</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0</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22.17</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0</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27.85</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0</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27.60</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0</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27.60</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0.25</w:t>
            </w:r>
          </w:p>
        </w:tc>
      </w:tr>
      <w:tr>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r>
      <w:tr>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r>
      <w:tr>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r>
      <w:tr>
        <w:tblPrEx>
          <w:tblCellMar>
            <w:top w:w="0" w:type="dxa"/>
            <w:left w:w="108" w:type="dxa"/>
            <w:bottom w:w="0" w:type="dxa"/>
            <w:right w:w="108" w:type="dxa"/>
          </w:tblCellMar>
        </w:tblPrEx>
        <w:trPr>
          <w:trHeight w:val="555" w:hRule="atLeast"/>
        </w:trPr>
        <w:tc>
          <w:tcPr>
            <w:tcW w:w="77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c>
          <w:tcPr>
            <w:tcW w:w="77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18"/>
              </w:rPr>
            </w:pPr>
            <w:r>
              <w:rPr>
                <w:rFonts w:hint="eastAsia" w:ascii="宋体" w:hAnsi="宋体" w:cs="宋体"/>
                <w:color w:val="000000"/>
                <w:kern w:val="0"/>
                <w:sz w:val="22"/>
                <w:szCs w:val="18"/>
              </w:rPr>
              <w:t>　</w:t>
            </w:r>
          </w:p>
        </w:tc>
      </w:tr>
    </w:tbl>
    <w:p>
      <w:pPr>
        <w:rPr>
          <w:rFonts w:ascii="仿宋_GB2312" w:hAnsi="宋体" w:eastAsia="仿宋_GB2312"/>
          <w:color w:val="000000"/>
          <w:kern w:val="0"/>
          <w:sz w:val="32"/>
          <w:szCs w:val="32"/>
        </w:rPr>
      </w:pPr>
    </w:p>
    <w:p>
      <w:pPr>
        <w:widowControl/>
        <w:ind w:firstLine="627" w:firstLineChars="196"/>
        <w:outlineLvl w:val="1"/>
        <w:rPr>
          <w:rFonts w:ascii="黑体" w:hAnsi="宋体" w:eastAsia="黑体"/>
          <w:bCs/>
          <w:color w:val="000000"/>
          <w:kern w:val="0"/>
          <w:sz w:val="32"/>
          <w:szCs w:val="32"/>
        </w:rPr>
      </w:pPr>
      <w:r>
        <w:rPr>
          <w:rFonts w:hint="eastAsia" w:ascii="黑体" w:hAnsi="宋体" w:eastAsia="黑体"/>
          <w:bCs/>
          <w:color w:val="000000"/>
          <w:kern w:val="0"/>
          <w:sz w:val="32"/>
          <w:szCs w:val="32"/>
        </w:rPr>
        <w:t>五、政府性基金预算财政拨款支出表</w:t>
      </w:r>
    </w:p>
    <w:p>
      <w:pPr>
        <w:widowControl/>
        <w:ind w:firstLine="720" w:firstLineChars="200"/>
        <w:jc w:val="center"/>
        <w:outlineLvl w:val="1"/>
        <w:rPr>
          <w:rFonts w:ascii="仿宋_GB2312" w:hAnsi="宋体" w:eastAsia="仿宋_GB2312"/>
          <w:b/>
          <w:color w:val="000000"/>
          <w:kern w:val="0"/>
          <w:sz w:val="36"/>
          <w:szCs w:val="36"/>
        </w:rPr>
      </w:pPr>
      <w:r>
        <w:rPr>
          <w:rFonts w:hint="eastAsia" w:ascii="仿宋_GB2312" w:hAnsi="宋体" w:eastAsia="仿宋_GB2312"/>
          <w:b/>
          <w:color w:val="000000"/>
          <w:kern w:val="0"/>
          <w:sz w:val="36"/>
          <w:szCs w:val="36"/>
        </w:rPr>
        <w:t>政府性基金预算财政拨款支出表</w:t>
      </w:r>
    </w:p>
    <w:p>
      <w:pPr>
        <w:widowControl/>
        <w:ind w:firstLine="720" w:firstLineChars="200"/>
        <w:jc w:val="center"/>
        <w:outlineLvl w:val="1"/>
        <w:rPr>
          <w:rFonts w:ascii="仿宋_GB2312" w:hAnsi="宋体" w:eastAsia="仿宋_GB2312"/>
          <w:color w:val="000000"/>
          <w:kern w:val="0"/>
          <w:sz w:val="32"/>
          <w:szCs w:val="32"/>
        </w:rPr>
      </w:pPr>
      <w:r>
        <w:rPr>
          <w:rFonts w:hint="eastAsia" w:ascii="仿宋_GB2312" w:hAnsi="宋体" w:eastAsia="仿宋_GB2312"/>
          <w:b/>
          <w:color w:val="000000"/>
          <w:kern w:val="0"/>
          <w:sz w:val="36"/>
          <w:szCs w:val="36"/>
        </w:rPr>
        <w:t xml:space="preserve">                                                                </w:t>
      </w:r>
      <w:r>
        <w:rPr>
          <w:rFonts w:hint="eastAsia" w:ascii="仿宋_GB2312" w:hAnsi="宋体" w:eastAsia="仿宋_GB2312"/>
          <w:color w:val="000000"/>
          <w:kern w:val="0"/>
          <w:sz w:val="32"/>
          <w:szCs w:val="32"/>
        </w:rPr>
        <w:t>单位：万元</w:t>
      </w:r>
    </w:p>
    <w:tbl>
      <w:tblPr>
        <w:tblStyle w:val="8"/>
        <w:tblW w:w="0" w:type="auto"/>
        <w:tblInd w:w="91" w:type="dxa"/>
        <w:tblLayout w:type="fixed"/>
        <w:tblCellMar>
          <w:top w:w="0" w:type="dxa"/>
          <w:left w:w="108" w:type="dxa"/>
          <w:bottom w:w="0" w:type="dxa"/>
          <w:right w:w="108" w:type="dxa"/>
        </w:tblCellMar>
      </w:tblPr>
      <w:tblGrid>
        <w:gridCol w:w="1418"/>
        <w:gridCol w:w="1418"/>
        <w:gridCol w:w="1418"/>
        <w:gridCol w:w="1418"/>
        <w:gridCol w:w="1418"/>
        <w:gridCol w:w="1418"/>
        <w:gridCol w:w="1418"/>
        <w:gridCol w:w="1418"/>
        <w:gridCol w:w="1418"/>
        <w:gridCol w:w="1418"/>
      </w:tblGrid>
      <w:tr>
        <w:tblPrEx>
          <w:tblCellMar>
            <w:top w:w="0" w:type="dxa"/>
            <w:left w:w="108" w:type="dxa"/>
            <w:bottom w:w="0" w:type="dxa"/>
            <w:right w:w="108" w:type="dxa"/>
          </w:tblCellMar>
        </w:tblPrEx>
        <w:trPr>
          <w:trHeight w:val="510"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功能分类科目</w:t>
            </w:r>
          </w:p>
        </w:tc>
        <w:tc>
          <w:tcPr>
            <w:tcW w:w="1418" w:type="dxa"/>
            <w:vMerge w:val="restart"/>
            <w:tcBorders>
              <w:top w:val="single" w:color="auto" w:sz="4" w:space="0"/>
              <w:left w:val="nil"/>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2020年执行数（决算数）</w:t>
            </w:r>
          </w:p>
          <w:p>
            <w:pPr>
              <w:jc w:val="center"/>
              <w:rPr>
                <w:rFonts w:ascii="宋体" w:hAnsi="宋体" w:cs="宋体"/>
                <w:b/>
                <w:bCs/>
                <w:color w:val="000000"/>
                <w:kern w:val="0"/>
                <w:sz w:val="22"/>
                <w:szCs w:val="22"/>
              </w:rPr>
            </w:pPr>
          </w:p>
        </w:tc>
        <w:tc>
          <w:tcPr>
            <w:tcW w:w="7090"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2021年预算数</w:t>
            </w:r>
          </w:p>
        </w:tc>
        <w:tc>
          <w:tcPr>
            <w:tcW w:w="2836" w:type="dxa"/>
            <w:gridSpan w:val="2"/>
            <w:tcBorders>
              <w:top w:val="single" w:color="auto" w:sz="4" w:space="0"/>
              <w:bottom w:val="single" w:color="auto" w:sz="4" w:space="0"/>
              <w:right w:val="single" w:color="auto" w:sz="4" w:space="0"/>
            </w:tcBorders>
            <w:vAlign w:val="center"/>
          </w:tcPr>
          <w:p>
            <w:pPr>
              <w:widowControl/>
              <w:jc w:val="center"/>
              <w:rPr>
                <w:color w:val="000000"/>
                <w:kern w:val="0"/>
                <w:sz w:val="20"/>
              </w:rPr>
            </w:pPr>
            <w:r>
              <w:rPr>
                <w:rFonts w:hint="eastAsia" w:ascii="宋体" w:hAnsi="宋体" w:cs="宋体"/>
                <w:b/>
                <w:bCs/>
                <w:color w:val="000000"/>
                <w:kern w:val="0"/>
                <w:sz w:val="22"/>
                <w:szCs w:val="22"/>
              </w:rPr>
              <w:t>2021年预算数与2020年执行数（决算数）</w:t>
            </w:r>
          </w:p>
        </w:tc>
      </w:tr>
      <w:tr>
        <w:tblPrEx>
          <w:tblCellMar>
            <w:top w:w="0" w:type="dxa"/>
            <w:left w:w="108" w:type="dxa"/>
            <w:bottom w:w="0" w:type="dxa"/>
            <w:right w:w="108" w:type="dxa"/>
          </w:tblCellMar>
        </w:tblPrEx>
        <w:trPr>
          <w:trHeight w:val="510" w:hRule="atLeast"/>
        </w:trPr>
        <w:tc>
          <w:tcPr>
            <w:tcW w:w="1418" w:type="dxa"/>
            <w:vMerge w:val="restart"/>
            <w:tcBorders>
              <w:top w:val="nil"/>
              <w:left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1418" w:type="dxa"/>
            <w:vMerge w:val="restart"/>
            <w:tcBorders>
              <w:top w:val="nil"/>
              <w:left w:val="nil"/>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1418" w:type="dxa"/>
            <w:vMerge w:val="continue"/>
            <w:tcBorders>
              <w:left w:val="nil"/>
              <w:right w:val="single" w:color="auto" w:sz="4" w:space="0"/>
            </w:tcBorders>
            <w:vAlign w:val="center"/>
          </w:tcPr>
          <w:p>
            <w:pPr>
              <w:widowControl/>
              <w:jc w:val="center"/>
              <w:rPr>
                <w:rFonts w:ascii="宋体" w:hAnsi="宋体" w:cs="宋体"/>
                <w:b/>
                <w:bCs/>
                <w:color w:val="000000"/>
                <w:kern w:val="0"/>
                <w:sz w:val="22"/>
                <w:szCs w:val="22"/>
              </w:rPr>
            </w:pPr>
          </w:p>
        </w:tc>
        <w:tc>
          <w:tcPr>
            <w:tcW w:w="1418" w:type="dxa"/>
            <w:vMerge w:val="restart"/>
            <w:tcBorders>
              <w:top w:val="nil"/>
              <w:left w:val="nil"/>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4254" w:type="dxa"/>
            <w:gridSpan w:val="3"/>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1418"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1418" w:type="dxa"/>
            <w:vMerge w:val="restart"/>
            <w:tcBorders>
              <w:top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增减额</w:t>
            </w:r>
          </w:p>
        </w:tc>
        <w:tc>
          <w:tcPr>
            <w:tcW w:w="1418"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增减%</w:t>
            </w:r>
          </w:p>
        </w:tc>
      </w:tr>
      <w:tr>
        <w:tblPrEx>
          <w:tblCellMar>
            <w:top w:w="0" w:type="dxa"/>
            <w:left w:w="108" w:type="dxa"/>
            <w:bottom w:w="0" w:type="dxa"/>
            <w:right w:w="108" w:type="dxa"/>
          </w:tblCellMar>
        </w:tblPrEx>
        <w:trPr>
          <w:trHeight w:val="510" w:hRule="atLeast"/>
        </w:trPr>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418" w:type="dxa"/>
            <w:vMerge w:val="continue"/>
            <w:tcBorders>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418" w:type="dxa"/>
            <w:vMerge w:val="continue"/>
            <w:tcBorders>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418" w:type="dxa"/>
            <w:vMerge w:val="continue"/>
            <w:tcBorders>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418" w:type="dxa"/>
            <w:tcBorders>
              <w:top w:val="single" w:color="auto" w:sz="4" w:space="0"/>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宋体" w:hAnsi="宋体" w:cs="宋体"/>
                <w:b/>
                <w:bCs/>
                <w:color w:val="000000"/>
                <w:kern w:val="0"/>
                <w:sz w:val="22"/>
                <w:szCs w:val="22"/>
              </w:rPr>
              <w:t>小计</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人员经费</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宋体" w:hAnsi="宋体" w:cs="宋体"/>
                <w:b/>
                <w:bCs/>
                <w:color w:val="000000"/>
                <w:kern w:val="0"/>
                <w:sz w:val="22"/>
                <w:szCs w:val="22"/>
              </w:rPr>
              <w:t>日常公用经费</w:t>
            </w:r>
          </w:p>
        </w:tc>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418" w:type="dxa"/>
            <w:vMerge w:val="continue"/>
            <w:tcBorders>
              <w:bottom w:val="single" w:color="auto" w:sz="4" w:space="0"/>
              <w:right w:val="single" w:color="auto" w:sz="4" w:space="0"/>
            </w:tcBorders>
            <w:vAlign w:val="center"/>
          </w:tcPr>
          <w:p>
            <w:pPr>
              <w:widowControl/>
              <w:rPr>
                <w:rFonts w:ascii="宋体" w:hAnsi="宋体" w:cs="宋体"/>
                <w:b/>
                <w:bCs/>
                <w:color w:val="000000"/>
                <w:kern w:val="0"/>
                <w:sz w:val="22"/>
                <w:szCs w:val="22"/>
              </w:rPr>
            </w:pPr>
          </w:p>
        </w:tc>
        <w:tc>
          <w:tcPr>
            <w:tcW w:w="1418"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55" w:hRule="atLeast"/>
        </w:trPr>
        <w:tc>
          <w:tcPr>
            <w:tcW w:w="14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rPr>
            </w:pPr>
            <w:r>
              <w:rPr>
                <w:rFonts w:hint="eastAsia" w:ascii="宋体" w:hAnsi="宋体" w:cs="宋体"/>
                <w:color w:val="000000"/>
                <w:kern w:val="0"/>
                <w:sz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rPr>
            </w:pPr>
            <w:r>
              <w:rPr>
                <w:rFonts w:hint="eastAsia" w:ascii="宋体" w:hAnsi="宋体" w:cs="宋体"/>
                <w:color w:val="000000"/>
                <w:kern w:val="0"/>
                <w:sz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color w:val="000000"/>
                <w:kern w:val="0"/>
                <w:sz w:val="20"/>
              </w:rPr>
            </w:pPr>
            <w:r>
              <w:rPr>
                <w:rFonts w:hint="eastAsia" w:ascii="宋体" w:hAnsi="宋体" w:cs="宋体"/>
                <w:color w:val="000000"/>
                <w:kern w:val="0"/>
                <w:sz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color w:val="000000"/>
                <w:kern w:val="0"/>
                <w:sz w:val="20"/>
              </w:rPr>
            </w:pPr>
            <w:r>
              <w:rPr>
                <w:rFonts w:hint="eastAsia" w:ascii="宋体" w:hAnsi="宋体" w:cs="宋体"/>
                <w:color w:val="000000"/>
                <w:kern w:val="0"/>
                <w:sz w:val="20"/>
              </w:rPr>
              <w:t>　</w:t>
            </w:r>
          </w:p>
        </w:tc>
        <w:tc>
          <w:tcPr>
            <w:tcW w:w="1418" w:type="dxa"/>
            <w:tcBorders>
              <w:bottom w:val="single" w:color="auto" w:sz="4" w:space="0"/>
              <w:right w:val="single" w:color="auto" w:sz="4" w:space="0"/>
            </w:tcBorders>
          </w:tcPr>
          <w:p>
            <w:pPr>
              <w:widowControl/>
              <w:jc w:val="left"/>
              <w:rPr>
                <w:color w:val="000000"/>
                <w:kern w:val="0"/>
                <w:sz w:val="20"/>
              </w:rPr>
            </w:pPr>
          </w:p>
        </w:tc>
        <w:tc>
          <w:tcPr>
            <w:tcW w:w="1418" w:type="dxa"/>
            <w:tcBorders>
              <w:top w:val="single" w:color="auto" w:sz="4" w:space="0"/>
              <w:bottom w:val="single" w:color="auto" w:sz="4" w:space="0"/>
              <w:right w:val="single" w:color="auto" w:sz="4" w:space="0"/>
            </w:tcBorders>
          </w:tcPr>
          <w:p>
            <w:pPr>
              <w:widowControl/>
              <w:jc w:val="left"/>
              <w:rPr>
                <w:color w:val="000000"/>
                <w:kern w:val="0"/>
                <w:sz w:val="20"/>
              </w:rPr>
            </w:pPr>
          </w:p>
        </w:tc>
      </w:tr>
      <w:tr>
        <w:tblPrEx>
          <w:tblCellMar>
            <w:top w:w="0" w:type="dxa"/>
            <w:left w:w="108" w:type="dxa"/>
            <w:bottom w:w="0" w:type="dxa"/>
            <w:right w:w="108" w:type="dxa"/>
          </w:tblCellMar>
        </w:tblPrEx>
        <w:trPr>
          <w:trHeight w:val="605" w:hRule="atLeast"/>
        </w:trPr>
        <w:tc>
          <w:tcPr>
            <w:tcW w:w="14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rPr>
            </w:pPr>
            <w:r>
              <w:rPr>
                <w:rFonts w:hint="eastAsia" w:ascii="宋体" w:hAnsi="宋体" w:cs="宋体"/>
                <w:color w:val="000000"/>
                <w:kern w:val="0"/>
                <w:sz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rPr>
            </w:pPr>
            <w:r>
              <w:rPr>
                <w:rFonts w:hint="eastAsia" w:ascii="宋体" w:hAnsi="宋体" w:cs="宋体"/>
                <w:color w:val="000000"/>
                <w:kern w:val="0"/>
                <w:sz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color w:val="000000"/>
                <w:kern w:val="0"/>
                <w:sz w:val="20"/>
              </w:rPr>
            </w:pPr>
            <w:r>
              <w:rPr>
                <w:rFonts w:hint="eastAsia" w:ascii="宋体" w:hAnsi="宋体" w:cs="宋体"/>
                <w:color w:val="000000"/>
                <w:kern w:val="0"/>
                <w:sz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color w:val="000000"/>
                <w:kern w:val="0"/>
                <w:sz w:val="20"/>
              </w:rPr>
            </w:pPr>
            <w:r>
              <w:rPr>
                <w:rFonts w:hint="eastAsia" w:ascii="宋体" w:hAnsi="宋体" w:cs="宋体"/>
                <w:color w:val="000000"/>
                <w:kern w:val="0"/>
                <w:sz w:val="20"/>
              </w:rPr>
              <w:t>　</w:t>
            </w:r>
          </w:p>
        </w:tc>
        <w:tc>
          <w:tcPr>
            <w:tcW w:w="1418" w:type="dxa"/>
            <w:tcBorders>
              <w:top w:val="single" w:color="auto" w:sz="4" w:space="0"/>
              <w:bottom w:val="single" w:color="auto" w:sz="4" w:space="0"/>
              <w:right w:val="single" w:color="auto" w:sz="4" w:space="0"/>
            </w:tcBorders>
          </w:tcPr>
          <w:p>
            <w:pPr>
              <w:widowControl/>
              <w:jc w:val="left"/>
              <w:rPr>
                <w:color w:val="000000"/>
                <w:kern w:val="0"/>
                <w:sz w:val="20"/>
              </w:rPr>
            </w:pPr>
          </w:p>
        </w:tc>
        <w:tc>
          <w:tcPr>
            <w:tcW w:w="1418" w:type="dxa"/>
            <w:tcBorders>
              <w:top w:val="single" w:color="auto" w:sz="4" w:space="0"/>
              <w:bottom w:val="single" w:color="auto" w:sz="4" w:space="0"/>
              <w:right w:val="single" w:color="auto" w:sz="4" w:space="0"/>
            </w:tcBorders>
          </w:tcPr>
          <w:p>
            <w:pPr>
              <w:widowControl/>
              <w:jc w:val="left"/>
              <w:rPr>
                <w:color w:val="000000"/>
                <w:kern w:val="0"/>
                <w:sz w:val="20"/>
              </w:rPr>
            </w:pPr>
          </w:p>
        </w:tc>
      </w:tr>
      <w:tr>
        <w:tblPrEx>
          <w:tblCellMar>
            <w:top w:w="0" w:type="dxa"/>
            <w:left w:w="108" w:type="dxa"/>
            <w:bottom w:w="0" w:type="dxa"/>
            <w:right w:w="108" w:type="dxa"/>
          </w:tblCellMar>
        </w:tblPrEx>
        <w:trPr>
          <w:trHeight w:val="613" w:hRule="atLeast"/>
        </w:trPr>
        <w:tc>
          <w:tcPr>
            <w:tcW w:w="14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rPr>
            </w:pPr>
            <w:r>
              <w:rPr>
                <w:rFonts w:hint="eastAsia" w:ascii="宋体" w:hAnsi="宋体" w:cs="宋体"/>
                <w:color w:val="000000"/>
                <w:kern w:val="0"/>
                <w:sz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rPr>
            </w:pPr>
            <w:r>
              <w:rPr>
                <w:rFonts w:hint="eastAsia" w:ascii="宋体" w:hAnsi="宋体" w:cs="宋体"/>
                <w:color w:val="000000"/>
                <w:kern w:val="0"/>
                <w:sz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color w:val="000000"/>
                <w:kern w:val="0"/>
                <w:sz w:val="20"/>
              </w:rPr>
            </w:pPr>
            <w:r>
              <w:rPr>
                <w:rFonts w:hint="eastAsia" w:ascii="宋体" w:hAnsi="宋体" w:cs="宋体"/>
                <w:color w:val="000000"/>
                <w:kern w:val="0"/>
                <w:sz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color w:val="000000"/>
                <w:kern w:val="0"/>
                <w:sz w:val="20"/>
              </w:rPr>
            </w:pPr>
            <w:r>
              <w:rPr>
                <w:rFonts w:hint="eastAsia" w:ascii="宋体" w:hAnsi="宋体" w:cs="宋体"/>
                <w:color w:val="000000"/>
                <w:kern w:val="0"/>
                <w:sz w:val="20"/>
              </w:rPr>
              <w:t>　</w:t>
            </w:r>
          </w:p>
        </w:tc>
        <w:tc>
          <w:tcPr>
            <w:tcW w:w="1418" w:type="dxa"/>
            <w:tcBorders>
              <w:top w:val="single" w:color="auto" w:sz="4" w:space="0"/>
              <w:bottom w:val="single" w:color="auto" w:sz="4" w:space="0"/>
              <w:right w:val="single" w:color="auto" w:sz="4" w:space="0"/>
            </w:tcBorders>
          </w:tcPr>
          <w:p>
            <w:pPr>
              <w:widowControl/>
              <w:jc w:val="left"/>
              <w:rPr>
                <w:color w:val="000000"/>
                <w:kern w:val="0"/>
                <w:sz w:val="20"/>
              </w:rPr>
            </w:pPr>
          </w:p>
        </w:tc>
        <w:tc>
          <w:tcPr>
            <w:tcW w:w="1418" w:type="dxa"/>
            <w:tcBorders>
              <w:top w:val="single" w:color="auto" w:sz="4" w:space="0"/>
              <w:bottom w:val="single" w:color="auto" w:sz="4" w:space="0"/>
              <w:right w:val="single" w:color="auto" w:sz="4" w:space="0"/>
            </w:tcBorders>
          </w:tcPr>
          <w:p>
            <w:pPr>
              <w:widowControl/>
              <w:jc w:val="left"/>
              <w:rPr>
                <w:color w:val="000000"/>
                <w:kern w:val="0"/>
                <w:sz w:val="20"/>
              </w:rPr>
            </w:pPr>
          </w:p>
        </w:tc>
      </w:tr>
      <w:tr>
        <w:tblPrEx>
          <w:tblCellMar>
            <w:top w:w="0" w:type="dxa"/>
            <w:left w:w="108" w:type="dxa"/>
            <w:bottom w:w="0" w:type="dxa"/>
            <w:right w:w="108" w:type="dxa"/>
          </w:tblCellMar>
        </w:tblPrEx>
        <w:trPr>
          <w:trHeight w:val="621" w:hRule="atLeast"/>
        </w:trPr>
        <w:tc>
          <w:tcPr>
            <w:tcW w:w="14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rPr>
            </w:pPr>
            <w:r>
              <w:rPr>
                <w:rFonts w:hint="eastAsia" w:ascii="宋体" w:hAnsi="宋体" w:cs="宋体"/>
                <w:color w:val="000000"/>
                <w:kern w:val="0"/>
                <w:sz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rPr>
            </w:pPr>
            <w:r>
              <w:rPr>
                <w:rFonts w:hint="eastAsia" w:ascii="宋体" w:hAnsi="宋体" w:cs="宋体"/>
                <w:color w:val="000000"/>
                <w:kern w:val="0"/>
                <w:sz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color w:val="000000"/>
                <w:kern w:val="0"/>
                <w:sz w:val="20"/>
              </w:rPr>
            </w:pPr>
            <w:r>
              <w:rPr>
                <w:rFonts w:hint="eastAsia" w:ascii="宋体" w:hAnsi="宋体" w:cs="宋体"/>
                <w:color w:val="000000"/>
                <w:kern w:val="0"/>
                <w:sz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color w:val="000000"/>
                <w:kern w:val="0"/>
                <w:sz w:val="20"/>
              </w:rPr>
            </w:pPr>
            <w:r>
              <w:rPr>
                <w:rFonts w:hint="eastAsia" w:ascii="宋体" w:hAnsi="宋体" w:cs="宋体"/>
                <w:color w:val="000000"/>
                <w:kern w:val="0"/>
                <w:sz w:val="20"/>
              </w:rPr>
              <w:t>　</w:t>
            </w:r>
          </w:p>
        </w:tc>
        <w:tc>
          <w:tcPr>
            <w:tcW w:w="1418" w:type="dxa"/>
            <w:tcBorders>
              <w:top w:val="single" w:color="auto" w:sz="4" w:space="0"/>
              <w:bottom w:val="single" w:color="auto" w:sz="4" w:space="0"/>
              <w:right w:val="single" w:color="auto" w:sz="4" w:space="0"/>
            </w:tcBorders>
          </w:tcPr>
          <w:p>
            <w:pPr>
              <w:widowControl/>
              <w:jc w:val="left"/>
              <w:rPr>
                <w:color w:val="000000"/>
                <w:kern w:val="0"/>
                <w:sz w:val="20"/>
              </w:rPr>
            </w:pPr>
          </w:p>
        </w:tc>
        <w:tc>
          <w:tcPr>
            <w:tcW w:w="1418" w:type="dxa"/>
            <w:tcBorders>
              <w:top w:val="single" w:color="auto" w:sz="4" w:space="0"/>
              <w:bottom w:val="single" w:color="auto" w:sz="4" w:space="0"/>
              <w:right w:val="single" w:color="auto" w:sz="4" w:space="0"/>
            </w:tcBorders>
          </w:tcPr>
          <w:p>
            <w:pPr>
              <w:widowControl/>
              <w:jc w:val="left"/>
              <w:rPr>
                <w:color w:val="000000"/>
                <w:kern w:val="0"/>
                <w:sz w:val="20"/>
              </w:rPr>
            </w:pPr>
          </w:p>
        </w:tc>
      </w:tr>
      <w:tr>
        <w:tblPrEx>
          <w:tblCellMar>
            <w:top w:w="0" w:type="dxa"/>
            <w:left w:w="108" w:type="dxa"/>
            <w:bottom w:w="0" w:type="dxa"/>
            <w:right w:w="108" w:type="dxa"/>
          </w:tblCellMar>
        </w:tblPrEx>
        <w:trPr>
          <w:trHeight w:val="614" w:hRule="atLeast"/>
        </w:trPr>
        <w:tc>
          <w:tcPr>
            <w:tcW w:w="14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rPr>
            </w:pP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rPr>
            </w:pP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rPr>
            </w:pP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rPr>
            </w:pP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rPr>
            </w:pP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rPr>
            </w:pPr>
          </w:p>
        </w:tc>
        <w:tc>
          <w:tcPr>
            <w:tcW w:w="1418" w:type="dxa"/>
            <w:tcBorders>
              <w:top w:val="single" w:color="auto" w:sz="4" w:space="0"/>
              <w:bottom w:val="single" w:color="auto" w:sz="4" w:space="0"/>
              <w:right w:val="single" w:color="auto" w:sz="4" w:space="0"/>
            </w:tcBorders>
          </w:tcPr>
          <w:p>
            <w:pPr>
              <w:widowControl/>
              <w:jc w:val="left"/>
              <w:rPr>
                <w:color w:val="000000"/>
                <w:kern w:val="0"/>
                <w:sz w:val="20"/>
              </w:rPr>
            </w:pPr>
          </w:p>
        </w:tc>
        <w:tc>
          <w:tcPr>
            <w:tcW w:w="1418" w:type="dxa"/>
            <w:tcBorders>
              <w:top w:val="single" w:color="auto" w:sz="4" w:space="0"/>
              <w:bottom w:val="single" w:color="auto" w:sz="4" w:space="0"/>
              <w:right w:val="single" w:color="auto" w:sz="4" w:space="0"/>
            </w:tcBorders>
          </w:tcPr>
          <w:p>
            <w:pPr>
              <w:widowControl/>
              <w:jc w:val="left"/>
              <w:rPr>
                <w:color w:val="000000"/>
                <w:kern w:val="0"/>
                <w:sz w:val="20"/>
              </w:rPr>
            </w:pPr>
          </w:p>
        </w:tc>
      </w:tr>
      <w:tr>
        <w:tblPrEx>
          <w:tblCellMar>
            <w:top w:w="0" w:type="dxa"/>
            <w:left w:w="108" w:type="dxa"/>
            <w:bottom w:w="0" w:type="dxa"/>
            <w:right w:w="108" w:type="dxa"/>
          </w:tblCellMar>
        </w:tblPrEx>
        <w:trPr>
          <w:trHeight w:val="608" w:hRule="atLeast"/>
        </w:trPr>
        <w:tc>
          <w:tcPr>
            <w:tcW w:w="14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rPr>
            </w:pPr>
            <w:r>
              <w:rPr>
                <w:rFonts w:hint="eastAsia" w:ascii="宋体" w:hAnsi="宋体" w:cs="宋体"/>
                <w:color w:val="000000"/>
                <w:kern w:val="0"/>
                <w:sz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rPr>
            </w:pPr>
            <w:r>
              <w:rPr>
                <w:rFonts w:hint="eastAsia" w:ascii="宋体" w:hAnsi="宋体" w:cs="宋体"/>
                <w:color w:val="000000"/>
                <w:kern w:val="0"/>
                <w:sz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color w:val="000000"/>
                <w:kern w:val="0"/>
                <w:sz w:val="20"/>
              </w:rPr>
            </w:pPr>
            <w:r>
              <w:rPr>
                <w:rFonts w:hint="eastAsia" w:ascii="宋体" w:hAnsi="宋体" w:cs="宋体"/>
                <w:color w:val="000000"/>
                <w:kern w:val="0"/>
                <w:sz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color w:val="000000"/>
                <w:kern w:val="0"/>
                <w:sz w:val="20"/>
              </w:rPr>
            </w:pPr>
            <w:r>
              <w:rPr>
                <w:rFonts w:hint="eastAsia" w:ascii="宋体" w:hAnsi="宋体" w:cs="宋体"/>
                <w:color w:val="000000"/>
                <w:kern w:val="0"/>
                <w:sz w:val="20"/>
              </w:rPr>
              <w:t>　</w:t>
            </w:r>
          </w:p>
        </w:tc>
        <w:tc>
          <w:tcPr>
            <w:tcW w:w="1418" w:type="dxa"/>
            <w:tcBorders>
              <w:top w:val="single" w:color="auto" w:sz="4" w:space="0"/>
              <w:bottom w:val="single" w:color="auto" w:sz="4" w:space="0"/>
              <w:right w:val="single" w:color="auto" w:sz="4" w:space="0"/>
            </w:tcBorders>
          </w:tcPr>
          <w:p>
            <w:pPr>
              <w:widowControl/>
              <w:jc w:val="left"/>
              <w:rPr>
                <w:color w:val="000000"/>
                <w:kern w:val="0"/>
                <w:sz w:val="20"/>
              </w:rPr>
            </w:pPr>
          </w:p>
        </w:tc>
        <w:tc>
          <w:tcPr>
            <w:tcW w:w="1418" w:type="dxa"/>
            <w:tcBorders>
              <w:top w:val="single" w:color="auto" w:sz="4" w:space="0"/>
              <w:bottom w:val="single" w:color="auto" w:sz="4" w:space="0"/>
              <w:right w:val="single" w:color="auto" w:sz="4" w:space="0"/>
            </w:tcBorders>
          </w:tcPr>
          <w:p>
            <w:pPr>
              <w:widowControl/>
              <w:jc w:val="left"/>
              <w:rPr>
                <w:color w:val="000000"/>
                <w:kern w:val="0"/>
                <w:sz w:val="20"/>
              </w:rPr>
            </w:pPr>
          </w:p>
        </w:tc>
      </w:tr>
      <w:tr>
        <w:tblPrEx>
          <w:tblCellMar>
            <w:top w:w="0" w:type="dxa"/>
            <w:left w:w="108" w:type="dxa"/>
            <w:bottom w:w="0" w:type="dxa"/>
            <w:right w:w="108" w:type="dxa"/>
          </w:tblCellMar>
        </w:tblPrEx>
        <w:trPr>
          <w:trHeight w:val="603" w:hRule="atLeast"/>
        </w:trPr>
        <w:tc>
          <w:tcPr>
            <w:tcW w:w="141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rPr>
            </w:pPr>
            <w:r>
              <w:rPr>
                <w:rFonts w:hint="eastAsia" w:ascii="宋体" w:hAnsi="宋体" w:cs="宋体"/>
                <w:color w:val="000000"/>
                <w:kern w:val="0"/>
                <w:sz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rPr>
            </w:pPr>
            <w:r>
              <w:rPr>
                <w:rFonts w:hint="eastAsia" w:ascii="宋体" w:hAnsi="宋体" w:cs="宋体"/>
                <w:color w:val="000000"/>
                <w:kern w:val="0"/>
                <w:sz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rPr>
            </w:pPr>
            <w:r>
              <w:rPr>
                <w:rFonts w:hint="eastAsia" w:ascii="宋体" w:hAnsi="宋体" w:cs="宋体"/>
                <w:color w:val="000000"/>
                <w:kern w:val="0"/>
                <w:sz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color w:val="000000"/>
                <w:kern w:val="0"/>
                <w:sz w:val="20"/>
              </w:rPr>
            </w:pPr>
            <w:r>
              <w:rPr>
                <w:rFonts w:hint="eastAsia" w:ascii="宋体" w:hAnsi="宋体" w:cs="宋体"/>
                <w:color w:val="000000"/>
                <w:kern w:val="0"/>
                <w:sz w:val="20"/>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0"/>
              </w:rPr>
            </w:pPr>
          </w:p>
        </w:tc>
        <w:tc>
          <w:tcPr>
            <w:tcW w:w="1418" w:type="dxa"/>
            <w:tcBorders>
              <w:top w:val="nil"/>
              <w:left w:val="nil"/>
              <w:bottom w:val="single" w:color="auto" w:sz="4" w:space="0"/>
              <w:right w:val="single" w:color="auto" w:sz="4" w:space="0"/>
            </w:tcBorders>
            <w:vAlign w:val="center"/>
          </w:tcPr>
          <w:p>
            <w:pPr>
              <w:jc w:val="right"/>
              <w:rPr>
                <w:rFonts w:ascii="宋体" w:hAnsi="宋体" w:cs="宋体"/>
                <w:color w:val="000000"/>
                <w:kern w:val="0"/>
                <w:sz w:val="20"/>
              </w:rPr>
            </w:pPr>
            <w:r>
              <w:rPr>
                <w:rFonts w:hint="eastAsia" w:ascii="宋体" w:hAnsi="宋体" w:cs="宋体"/>
                <w:color w:val="000000"/>
                <w:kern w:val="0"/>
                <w:sz w:val="20"/>
              </w:rPr>
              <w:t>　</w:t>
            </w:r>
          </w:p>
        </w:tc>
        <w:tc>
          <w:tcPr>
            <w:tcW w:w="1418" w:type="dxa"/>
            <w:tcBorders>
              <w:top w:val="single" w:color="auto" w:sz="4" w:space="0"/>
              <w:bottom w:val="single" w:color="auto" w:sz="4" w:space="0"/>
              <w:right w:val="single" w:color="auto" w:sz="4" w:space="0"/>
            </w:tcBorders>
          </w:tcPr>
          <w:p>
            <w:pPr>
              <w:widowControl/>
              <w:jc w:val="left"/>
              <w:rPr>
                <w:color w:val="000000"/>
                <w:kern w:val="0"/>
                <w:sz w:val="20"/>
              </w:rPr>
            </w:pPr>
          </w:p>
        </w:tc>
        <w:tc>
          <w:tcPr>
            <w:tcW w:w="1418" w:type="dxa"/>
            <w:tcBorders>
              <w:top w:val="single" w:color="auto" w:sz="4" w:space="0"/>
              <w:bottom w:val="single" w:color="auto" w:sz="4" w:space="0"/>
              <w:right w:val="single" w:color="auto" w:sz="4" w:space="0"/>
            </w:tcBorders>
          </w:tcPr>
          <w:p>
            <w:pPr>
              <w:widowControl/>
              <w:jc w:val="left"/>
              <w:rPr>
                <w:color w:val="000000"/>
                <w:kern w:val="0"/>
                <w:sz w:val="20"/>
              </w:rPr>
            </w:pPr>
          </w:p>
        </w:tc>
      </w:tr>
    </w:tbl>
    <w:p>
      <w:pPr>
        <w:widowControl/>
        <w:ind w:firstLine="640" w:firstLineChars="200"/>
        <w:outlineLvl w:val="1"/>
        <w:rPr>
          <w:rFonts w:ascii="黑体" w:hAnsi="宋体" w:eastAsia="黑体"/>
          <w:bCs/>
          <w:color w:val="000000"/>
          <w:kern w:val="0"/>
          <w:sz w:val="32"/>
          <w:szCs w:val="32"/>
        </w:rPr>
      </w:pPr>
      <w:r>
        <w:rPr>
          <w:rFonts w:hint="eastAsia" w:ascii="黑体" w:hAnsi="宋体" w:eastAsia="黑体"/>
          <w:bCs/>
          <w:color w:val="000000"/>
          <w:kern w:val="0"/>
          <w:sz w:val="32"/>
          <w:szCs w:val="32"/>
        </w:rPr>
        <w:t>六、部门收支预算总表</w:t>
      </w:r>
    </w:p>
    <w:p>
      <w:pPr>
        <w:widowControl/>
        <w:jc w:val="center"/>
        <w:outlineLvl w:val="1"/>
        <w:rPr>
          <w:rFonts w:ascii="仿宋_GB2312" w:hAnsi="宋体" w:eastAsia="仿宋_GB2312"/>
          <w:b/>
          <w:color w:val="000000"/>
          <w:kern w:val="0"/>
          <w:sz w:val="36"/>
          <w:szCs w:val="36"/>
        </w:rPr>
      </w:pPr>
      <w:r>
        <w:rPr>
          <w:rFonts w:hint="eastAsia" w:ascii="仿宋_GB2312" w:hAnsi="宋体" w:eastAsia="仿宋_GB2312"/>
          <w:b/>
          <w:color w:val="000000"/>
          <w:kern w:val="0"/>
          <w:sz w:val="36"/>
          <w:szCs w:val="36"/>
        </w:rPr>
        <w:t>部门收支预算总表</w:t>
      </w:r>
    </w:p>
    <w:p>
      <w:pPr>
        <w:widowControl/>
        <w:jc w:val="right"/>
        <w:outlineLvl w:val="1"/>
        <w:rPr>
          <w:rFonts w:ascii="仿宋_GB2312" w:hAnsi="宋体" w:eastAsia="仿宋_GB2312"/>
          <w:b/>
          <w:color w:val="000000"/>
          <w:kern w:val="0"/>
          <w:sz w:val="36"/>
          <w:szCs w:val="36"/>
        </w:rPr>
      </w:pPr>
      <w:r>
        <w:rPr>
          <w:rFonts w:hint="eastAsia" w:ascii="仿宋_GB2312" w:hAnsi="宋体" w:eastAsia="仿宋_GB2312"/>
          <w:color w:val="000000"/>
          <w:kern w:val="0"/>
          <w:sz w:val="32"/>
          <w:szCs w:val="32"/>
        </w:rPr>
        <w:t xml:space="preserve">     单位：万元</w:t>
      </w:r>
    </w:p>
    <w:tbl>
      <w:tblPr>
        <w:tblStyle w:val="8"/>
        <w:tblW w:w="0" w:type="auto"/>
        <w:tblInd w:w="93" w:type="dxa"/>
        <w:tblLayout w:type="fixed"/>
        <w:tblCellMar>
          <w:top w:w="15" w:type="dxa"/>
          <w:left w:w="108" w:type="dxa"/>
          <w:bottom w:w="15" w:type="dxa"/>
          <w:right w:w="108" w:type="dxa"/>
        </w:tblCellMar>
      </w:tblPr>
      <w:tblGrid>
        <w:gridCol w:w="5235"/>
        <w:gridCol w:w="1800"/>
        <w:gridCol w:w="5022"/>
        <w:gridCol w:w="1800"/>
      </w:tblGrid>
      <w:tr>
        <w:tblPrEx>
          <w:tblCellMar>
            <w:top w:w="15" w:type="dxa"/>
            <w:left w:w="108" w:type="dxa"/>
            <w:bottom w:w="15" w:type="dxa"/>
            <w:right w:w="108" w:type="dxa"/>
          </w:tblCellMar>
        </w:tblPrEx>
        <w:trPr>
          <w:trHeight w:val="316" w:hRule="atLeast"/>
        </w:trPr>
        <w:tc>
          <w:tcPr>
            <w:tcW w:w="7035" w:type="dxa"/>
            <w:gridSpan w:val="2"/>
            <w:tcBorders>
              <w:top w:val="single" w:color="000000" w:sz="4" w:space="0"/>
              <w:left w:val="single" w:color="000000" w:sz="4" w:space="0"/>
              <w:right w:val="single" w:color="000000"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     入</w:t>
            </w:r>
          </w:p>
        </w:tc>
        <w:tc>
          <w:tcPr>
            <w:tcW w:w="6822" w:type="dxa"/>
            <w:gridSpan w:val="2"/>
            <w:tcBorders>
              <w:top w:val="single" w:color="000000" w:sz="4" w:space="0"/>
              <w:left w:val="single" w:color="000000" w:sz="4" w:space="0"/>
              <w:right w:val="single" w:color="000000"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     出</w:t>
            </w: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项目</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预算数</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项目</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预算数</w:t>
            </w: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一、财政拨款预算收入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18"/>
                <w:szCs w:val="18"/>
              </w:rPr>
              <w:t>2971.25</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一、行政支出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18"/>
                <w:szCs w:val="18"/>
              </w:rPr>
              <w:t>1828.86</w:t>
            </w: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（1）一般公共预算财政拨款收入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18"/>
                <w:szCs w:val="18"/>
              </w:rPr>
              <w:t>2971.25</w:t>
            </w: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r>
              <w:rPr>
                <w:rFonts w:ascii="宋体" w:hAnsi="宋体" w:cs="宋体"/>
                <w:color w:val="000000"/>
                <w:kern w:val="0"/>
                <w:sz w:val="22"/>
                <w:szCs w:val="22"/>
              </w:rPr>
              <w:t xml:space="preserve">            其中：财政拨款支出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18"/>
                <w:szCs w:val="18"/>
              </w:rPr>
              <w:t>1828.86</w:t>
            </w: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（2）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r>
              <w:rPr>
                <w:rFonts w:ascii="宋体" w:hAnsi="宋体" w:cs="宋体"/>
                <w:color w:val="000000"/>
                <w:kern w:val="0"/>
                <w:sz w:val="22"/>
                <w:szCs w:val="22"/>
              </w:rPr>
              <w:t xml:space="preserve">                  非同级财政拨款支出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二、事业预算收入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二、事业支出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18"/>
                <w:szCs w:val="18"/>
              </w:rPr>
              <w:t>1142.39</w:t>
            </w: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其中：非同级财政拨款（科研及辅助活动）</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r>
              <w:rPr>
                <w:rFonts w:ascii="宋体" w:hAnsi="宋体" w:cs="宋体"/>
                <w:color w:val="000000"/>
                <w:kern w:val="0"/>
                <w:sz w:val="22"/>
                <w:szCs w:val="22"/>
              </w:rPr>
              <w:t xml:space="preserve">            其中：财政拨款支出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18"/>
                <w:szCs w:val="18"/>
              </w:rPr>
              <w:t>1142.39</w:t>
            </w: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纳入财政专户管理的非税收入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r>
              <w:rPr>
                <w:rFonts w:ascii="宋体" w:hAnsi="宋体" w:cs="宋体"/>
                <w:color w:val="000000"/>
                <w:kern w:val="0"/>
                <w:sz w:val="22"/>
                <w:szCs w:val="22"/>
              </w:rPr>
              <w:t xml:space="preserve">                  非同级财政拨款支出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三、上级补助预算收入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三、经营支出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四、附属单位上缴预算收入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四、上缴上级支出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五、经营预算收入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五、对附属单位补助支出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六、债务预算收入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六、投资支出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七、非同级财政拨款预算收入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七、债务还本支出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八、投资预算收益</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八、其他支出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九、其他预算收入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本年收入合计</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18"/>
                <w:szCs w:val="18"/>
              </w:rPr>
              <w:t>2971.25</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本年支出合计</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18"/>
                <w:szCs w:val="18"/>
              </w:rPr>
              <w:t>2971.25</w:t>
            </w: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十、上年结转</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九、年末结转结余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（1）财政拨款结转</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（1）财政拨款结转</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（2）非财政拨款结转</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（2）财政拨款结余</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十一、上年结余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（3）非财政拨款结转</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（1）财政拨款结余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其中：一般公共预算财政拨款收入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政府性基金预算财政拨款收入</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（4）非财政拨款结余</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（2）非财政拨款结余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其中：本级横向财政拨款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非本级财政拨款</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（5）专用结余</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（3）专用结余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（6）经营结余</w:t>
            </w: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（4）经营结余</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2"/>
                <w:szCs w:val="22"/>
              </w:rPr>
            </w:pPr>
          </w:p>
        </w:tc>
        <w:tc>
          <w:tcPr>
            <w:tcW w:w="180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316" w:hRule="atLeast"/>
        </w:trPr>
        <w:tc>
          <w:tcPr>
            <w:tcW w:w="52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收入总计</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2971.25</w:t>
            </w:r>
          </w:p>
        </w:tc>
        <w:tc>
          <w:tcPr>
            <w:tcW w:w="50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支出总计</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kern w:val="0"/>
                <w:sz w:val="22"/>
                <w:szCs w:val="22"/>
              </w:rPr>
            </w:pPr>
            <w:r>
              <w:rPr>
                <w:rFonts w:hint="eastAsia" w:ascii="宋体" w:hAnsi="宋体" w:cs="宋体"/>
                <w:color w:val="000000"/>
                <w:kern w:val="0"/>
                <w:sz w:val="18"/>
                <w:szCs w:val="18"/>
              </w:rPr>
              <w:t>2971.25</w:t>
            </w:r>
          </w:p>
        </w:tc>
      </w:tr>
    </w:tbl>
    <w:p>
      <w:pPr>
        <w:widowControl/>
        <w:ind w:firstLine="640" w:firstLineChars="200"/>
        <w:outlineLvl w:val="1"/>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 xml:space="preserve">                                                            </w:t>
      </w:r>
    </w:p>
    <w:p>
      <w:pPr>
        <w:widowControl/>
        <w:ind w:firstLine="640" w:firstLineChars="200"/>
        <w:outlineLvl w:val="1"/>
        <w:rPr>
          <w:rFonts w:ascii="仿宋_GB2312" w:hAnsi="宋体" w:eastAsia="仿宋_GB2312"/>
          <w:color w:val="000000"/>
          <w:kern w:val="0"/>
          <w:sz w:val="32"/>
          <w:szCs w:val="32"/>
        </w:rPr>
      </w:pPr>
    </w:p>
    <w:p>
      <w:pPr>
        <w:widowControl/>
        <w:ind w:firstLine="640" w:firstLineChars="200"/>
        <w:outlineLvl w:val="1"/>
        <w:rPr>
          <w:rFonts w:ascii="仿宋_GB2312" w:hAnsi="宋体" w:eastAsia="仿宋_GB2312"/>
          <w:color w:val="000000"/>
          <w:kern w:val="0"/>
          <w:sz w:val="32"/>
          <w:szCs w:val="32"/>
        </w:rPr>
      </w:pPr>
    </w:p>
    <w:p>
      <w:pPr>
        <w:widowControl/>
        <w:ind w:firstLine="735"/>
        <w:jc w:val="left"/>
        <w:outlineLvl w:val="1"/>
        <w:rPr>
          <w:rFonts w:ascii="黑体" w:hAnsi="宋体" w:eastAsia="黑体"/>
          <w:color w:val="000000"/>
          <w:kern w:val="0"/>
          <w:sz w:val="32"/>
          <w:szCs w:val="32"/>
        </w:rPr>
      </w:pPr>
      <w:r>
        <w:rPr>
          <w:rFonts w:hint="eastAsia" w:ascii="黑体" w:hAnsi="宋体" w:eastAsia="黑体"/>
          <w:color w:val="000000"/>
          <w:kern w:val="0"/>
          <w:sz w:val="32"/>
          <w:szCs w:val="32"/>
        </w:rPr>
        <w:t>七、部门收入总表</w:t>
      </w:r>
    </w:p>
    <w:p>
      <w:pPr>
        <w:widowControl/>
        <w:jc w:val="center"/>
        <w:outlineLvl w:val="1"/>
        <w:rPr>
          <w:rFonts w:ascii="仿宋_GB2312" w:hAnsi="宋体" w:eastAsia="仿宋_GB2312"/>
          <w:b/>
          <w:bCs/>
          <w:color w:val="000000"/>
          <w:kern w:val="0"/>
          <w:sz w:val="36"/>
          <w:szCs w:val="36"/>
        </w:rPr>
      </w:pPr>
      <w:r>
        <w:rPr>
          <w:rFonts w:hint="eastAsia" w:ascii="仿宋_GB2312" w:hAnsi="宋体" w:eastAsia="仿宋_GB2312"/>
          <w:b/>
          <w:bCs/>
          <w:color w:val="000000"/>
          <w:kern w:val="0"/>
          <w:sz w:val="36"/>
          <w:szCs w:val="36"/>
        </w:rPr>
        <w:t>部门收入总表</w:t>
      </w:r>
    </w:p>
    <w:p>
      <w:pPr>
        <w:widowControl/>
        <w:jc w:val="left"/>
        <w:outlineLvl w:val="1"/>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 xml:space="preserve">                                                                         单位：万元</w:t>
      </w:r>
    </w:p>
    <w:tbl>
      <w:tblPr>
        <w:tblStyle w:val="8"/>
        <w:tblW w:w="0" w:type="auto"/>
        <w:tblInd w:w="93" w:type="dxa"/>
        <w:tblLayout w:type="fixed"/>
        <w:tblCellMar>
          <w:top w:w="15" w:type="dxa"/>
          <w:left w:w="108" w:type="dxa"/>
          <w:bottom w:w="15" w:type="dxa"/>
          <w:right w:w="108" w:type="dxa"/>
        </w:tblCellMar>
      </w:tblPr>
      <w:tblGrid>
        <w:gridCol w:w="1275"/>
        <w:gridCol w:w="839"/>
        <w:gridCol w:w="839"/>
        <w:gridCol w:w="839"/>
        <w:gridCol w:w="839"/>
        <w:gridCol w:w="860"/>
        <w:gridCol w:w="839"/>
        <w:gridCol w:w="840"/>
        <w:gridCol w:w="840"/>
        <w:gridCol w:w="840"/>
        <w:gridCol w:w="840"/>
        <w:gridCol w:w="840"/>
        <w:gridCol w:w="840"/>
        <w:gridCol w:w="840"/>
        <w:gridCol w:w="840"/>
        <w:gridCol w:w="840"/>
      </w:tblGrid>
      <w:tr>
        <w:tblPrEx>
          <w:tblCellMar>
            <w:top w:w="15" w:type="dxa"/>
            <w:left w:w="108" w:type="dxa"/>
            <w:bottom w:w="15" w:type="dxa"/>
            <w:right w:w="108" w:type="dxa"/>
          </w:tblCellMar>
        </w:tblPrEx>
        <w:trPr>
          <w:trHeight w:val="480" w:hRule="atLeast"/>
        </w:trPr>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本年收入合计</w:t>
            </w:r>
          </w:p>
        </w:tc>
        <w:tc>
          <w:tcPr>
            <w:tcW w:w="251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财政拨款预算收入</w:t>
            </w:r>
          </w:p>
        </w:tc>
        <w:tc>
          <w:tcPr>
            <w:tcW w:w="253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事业预算收入</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上级补助预算收入</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附属单位上缴预算收入</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经营预算收入</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债务预算收入</w:t>
            </w:r>
          </w:p>
        </w:tc>
        <w:tc>
          <w:tcPr>
            <w:tcW w:w="252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非同级财政拨款预算收入</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投资预算收益</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其他预算收入</w:t>
            </w:r>
          </w:p>
        </w:tc>
      </w:tr>
      <w:tr>
        <w:tblPrEx>
          <w:tblCellMar>
            <w:top w:w="15" w:type="dxa"/>
            <w:left w:w="108" w:type="dxa"/>
            <w:bottom w:w="15" w:type="dxa"/>
            <w:right w:w="108" w:type="dxa"/>
          </w:tblCellMar>
        </w:tblPrEx>
        <w:trPr>
          <w:trHeight w:val="420" w:hRule="atLeast"/>
        </w:trPr>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小计</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一般公共预算财政拨款收入</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政府性基金预算财政拨款收入</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小计</w:t>
            </w:r>
          </w:p>
        </w:tc>
        <w:tc>
          <w:tcPr>
            <w:tcW w:w="860" w:type="dxa"/>
            <w:tcBorders>
              <w:top w:val="single" w:color="000000" w:sz="4" w:space="0"/>
              <w:bottom w:val="single" w:color="000000" w:sz="4" w:space="0"/>
            </w:tcBorders>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其中：</w:t>
            </w:r>
          </w:p>
        </w:tc>
        <w:tc>
          <w:tcPr>
            <w:tcW w:w="839" w:type="dxa"/>
            <w:tcBorders>
              <w:top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小计</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非本级财政拨款</w:t>
            </w: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本级横向财政拨款</w:t>
            </w: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r>
      <w:tr>
        <w:tblPrEx>
          <w:tblCellMar>
            <w:top w:w="15" w:type="dxa"/>
            <w:left w:w="108" w:type="dxa"/>
            <w:bottom w:w="15" w:type="dxa"/>
            <w:right w:w="108" w:type="dxa"/>
          </w:tblCellMar>
        </w:tblPrEx>
        <w:trPr>
          <w:trHeight w:val="312" w:hRule="atLeast"/>
        </w:trPr>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非同级财政拨款（科研及辅助活动）</w:t>
            </w:r>
          </w:p>
        </w:tc>
        <w:tc>
          <w:tcPr>
            <w:tcW w:w="8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纳入财政专户管理的非税收入</w:t>
            </w: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r>
      <w:tr>
        <w:tblPrEx>
          <w:tblCellMar>
            <w:top w:w="15" w:type="dxa"/>
            <w:left w:w="108" w:type="dxa"/>
            <w:bottom w:w="15" w:type="dxa"/>
            <w:right w:w="108" w:type="dxa"/>
          </w:tblCellMar>
        </w:tblPrEx>
        <w:trPr>
          <w:trHeight w:val="1590" w:hRule="atLeast"/>
        </w:trPr>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b/>
                <w:bCs/>
                <w:color w:val="000000"/>
                <w:kern w:val="0"/>
                <w:sz w:val="22"/>
                <w:szCs w:val="22"/>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6"/>
                <w:szCs w:val="16"/>
              </w:rPr>
              <w:t>2971.25</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 w:val="16"/>
                <w:szCs w:val="16"/>
              </w:rPr>
              <w:t>2971.25</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 w:val="16"/>
                <w:szCs w:val="16"/>
              </w:rPr>
              <w:t>2971.25</w:t>
            </w:r>
          </w:p>
        </w:tc>
        <w:tc>
          <w:tcPr>
            <w:tcW w:w="83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3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6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39"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c>
          <w:tcPr>
            <w:tcW w:w="840"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22"/>
                <w:szCs w:val="22"/>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tabs>
                <w:tab w:val="left" w:pos="644"/>
              </w:tabs>
              <w:ind w:right="132" w:rightChars="63"/>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r>
      <w:tr>
        <w:tblPrEx>
          <w:tblCellMar>
            <w:top w:w="15" w:type="dxa"/>
            <w:left w:w="108" w:type="dxa"/>
            <w:bottom w:w="15" w:type="dxa"/>
            <w:right w:w="108" w:type="dxa"/>
          </w:tblCellMar>
        </w:tblPrEx>
        <w:trPr>
          <w:trHeight w:val="286" w:hRule="atLeast"/>
        </w:trPr>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r>
    </w:tbl>
    <w:p>
      <w:pPr>
        <w:widowControl/>
        <w:ind w:firstLine="627" w:firstLineChars="196"/>
        <w:jc w:val="left"/>
        <w:outlineLvl w:val="1"/>
        <w:rPr>
          <w:rFonts w:ascii="黑体" w:hAnsi="宋体" w:eastAsia="黑体"/>
          <w:color w:val="000000"/>
          <w:kern w:val="0"/>
          <w:sz w:val="32"/>
          <w:szCs w:val="32"/>
        </w:rPr>
      </w:pPr>
      <w:r>
        <w:rPr>
          <w:rFonts w:hint="eastAsia" w:ascii="黑体" w:hAnsi="宋体" w:eastAsia="黑体"/>
          <w:color w:val="000000"/>
          <w:kern w:val="0"/>
          <w:sz w:val="32"/>
          <w:szCs w:val="32"/>
        </w:rPr>
        <w:t>八、部门支出总表</w:t>
      </w:r>
    </w:p>
    <w:p>
      <w:pPr>
        <w:widowControl/>
        <w:jc w:val="center"/>
        <w:outlineLvl w:val="1"/>
        <w:rPr>
          <w:rFonts w:ascii="仿宋_GB2312" w:hAnsi="宋体" w:eastAsia="仿宋_GB2312"/>
          <w:b/>
          <w:bCs/>
          <w:color w:val="000000"/>
          <w:kern w:val="0"/>
          <w:sz w:val="36"/>
          <w:szCs w:val="36"/>
        </w:rPr>
      </w:pPr>
      <w:r>
        <w:rPr>
          <w:rFonts w:hint="eastAsia" w:ascii="仿宋_GB2312" w:hAnsi="宋体" w:eastAsia="仿宋_GB2312"/>
          <w:b/>
          <w:bCs/>
          <w:color w:val="000000"/>
          <w:kern w:val="0"/>
          <w:sz w:val="36"/>
          <w:szCs w:val="36"/>
        </w:rPr>
        <w:t>部门支出总表</w:t>
      </w:r>
    </w:p>
    <w:p>
      <w:pPr>
        <w:rPr>
          <w:color w:val="000000"/>
          <w:szCs w:val="21"/>
        </w:rPr>
      </w:pPr>
      <w:r>
        <w:rPr>
          <w:rFonts w:hint="eastAsia" w:ascii="仿宋_GB2312" w:hAnsi="宋体" w:eastAsia="仿宋_GB2312"/>
          <w:color w:val="000000"/>
          <w:kern w:val="0"/>
          <w:sz w:val="32"/>
          <w:szCs w:val="32"/>
        </w:rPr>
        <w:t xml:space="preserve">                                                                           单位：万元</w:t>
      </w:r>
    </w:p>
    <w:tbl>
      <w:tblPr>
        <w:tblStyle w:val="8"/>
        <w:tblW w:w="0" w:type="auto"/>
        <w:tblInd w:w="93" w:type="dxa"/>
        <w:tblLayout w:type="fixed"/>
        <w:tblCellMar>
          <w:top w:w="15" w:type="dxa"/>
          <w:left w:w="108" w:type="dxa"/>
          <w:bottom w:w="15" w:type="dxa"/>
          <w:right w:w="108" w:type="dxa"/>
        </w:tblCellMar>
      </w:tblPr>
      <w:tblGrid>
        <w:gridCol w:w="1995"/>
        <w:gridCol w:w="1317"/>
        <w:gridCol w:w="1317"/>
        <w:gridCol w:w="1317"/>
        <w:gridCol w:w="1316"/>
        <w:gridCol w:w="1316"/>
        <w:gridCol w:w="1316"/>
        <w:gridCol w:w="1316"/>
        <w:gridCol w:w="1316"/>
        <w:gridCol w:w="1307"/>
      </w:tblGrid>
      <w:tr>
        <w:tblPrEx>
          <w:tblCellMar>
            <w:top w:w="15" w:type="dxa"/>
            <w:left w:w="108" w:type="dxa"/>
            <w:bottom w:w="15" w:type="dxa"/>
            <w:right w:w="108" w:type="dxa"/>
          </w:tblCellMar>
        </w:tblPrEx>
        <w:trPr>
          <w:trHeight w:val="780"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本年支出合计</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行政支出</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事业支出</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经营支出</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对附属单位补助支出</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投资支出</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债务还本支出</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其他支出</w:t>
            </w: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Arial" w:hAnsi="Arial" w:cs="Arial"/>
                <w:color w:val="000000"/>
                <w:kern w:val="0"/>
                <w:sz w:val="20"/>
              </w:rPr>
            </w:pPr>
            <w:r>
              <w:rPr>
                <w:rFonts w:hint="eastAsia" w:ascii="Arial" w:hAnsi="Arial" w:cs="Arial"/>
                <w:color w:val="000000"/>
                <w:kern w:val="0"/>
                <w:sz w:val="20"/>
              </w:rPr>
              <w:t>3213.8049</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Arial" w:hAnsi="Arial" w:cs="Arial"/>
                <w:color w:val="000000"/>
                <w:kern w:val="0"/>
                <w:sz w:val="20"/>
              </w:rPr>
            </w:pPr>
            <w:r>
              <w:rPr>
                <w:rFonts w:hint="eastAsia" w:ascii="Arial" w:hAnsi="Arial" w:cs="Arial"/>
                <w:color w:val="000000"/>
                <w:kern w:val="0"/>
                <w:sz w:val="20"/>
              </w:rPr>
              <w:t>2071.4172</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Arial" w:hAnsi="Arial" w:cs="Arial"/>
                <w:color w:val="000000"/>
                <w:kern w:val="0"/>
                <w:sz w:val="20"/>
              </w:rPr>
            </w:pPr>
            <w:r>
              <w:rPr>
                <w:rFonts w:hint="eastAsia" w:ascii="Arial" w:hAnsi="Arial" w:cs="Arial"/>
                <w:color w:val="000000"/>
                <w:kern w:val="0"/>
                <w:sz w:val="20"/>
              </w:rPr>
              <w:t>1142.3877</w:t>
            </w: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18"/>
                <w:szCs w:val="18"/>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18"/>
                <w:szCs w:val="18"/>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18"/>
                <w:szCs w:val="18"/>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18"/>
                <w:szCs w:val="18"/>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18"/>
                <w:szCs w:val="18"/>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ascii="宋体" w:hAnsi="宋体" w:cs="宋体"/>
                <w:color w:val="000000"/>
                <w:kern w:val="0"/>
                <w:sz w:val="18"/>
                <w:szCs w:val="18"/>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color w:val="000000"/>
                <w:kern w:val="0"/>
                <w:sz w:val="22"/>
                <w:szCs w:val="22"/>
              </w:rPr>
            </w:pPr>
            <w:r>
              <w:rPr>
                <w:rFonts w:hint="eastAsia" w:ascii="宋体" w:hAnsi="宋体" w:cs="宋体"/>
                <w:color w:val="000000"/>
                <w:kern w:val="0"/>
                <w:sz w:val="18"/>
                <w:szCs w:val="18"/>
              </w:rPr>
              <w:t>2080501</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Arial" w:hAnsi="Arial" w:cs="Arial"/>
                <w:color w:val="000000"/>
                <w:kern w:val="0"/>
                <w:sz w:val="20"/>
              </w:rPr>
            </w:pPr>
            <w:r>
              <w:rPr>
                <w:rFonts w:hint="eastAsia" w:ascii="Arial" w:hAnsi="Arial" w:cs="Arial"/>
                <w:color w:val="000000"/>
                <w:kern w:val="0"/>
                <w:sz w:val="20"/>
              </w:rPr>
              <w:t>19.2</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Arial" w:hAnsi="Arial" w:cs="Arial"/>
                <w:color w:val="000000"/>
                <w:kern w:val="0"/>
                <w:sz w:val="20"/>
              </w:rPr>
            </w:pPr>
            <w:r>
              <w:rPr>
                <w:rFonts w:hint="eastAsia" w:ascii="Arial" w:hAnsi="Arial" w:cs="Arial"/>
                <w:color w:val="000000"/>
                <w:kern w:val="0"/>
                <w:sz w:val="20"/>
              </w:rPr>
              <w:t>19.2</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Arial" w:hAnsi="Arial" w:cs="Arial"/>
                <w:color w:val="000000"/>
                <w:kern w:val="0"/>
                <w:sz w:val="20"/>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color w:val="000000"/>
                <w:kern w:val="0"/>
                <w:sz w:val="22"/>
                <w:szCs w:val="22"/>
              </w:rPr>
            </w:pPr>
            <w:r>
              <w:rPr>
                <w:rFonts w:hint="eastAsia" w:ascii="宋体" w:hAnsi="宋体" w:cs="宋体"/>
                <w:color w:val="000000"/>
                <w:kern w:val="0"/>
                <w:sz w:val="18"/>
                <w:szCs w:val="18"/>
              </w:rPr>
              <w:t>2080502</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Arial" w:hAnsi="Arial" w:cs="Arial"/>
                <w:color w:val="000000"/>
                <w:kern w:val="0"/>
                <w:sz w:val="20"/>
              </w:rPr>
            </w:pPr>
            <w:r>
              <w:rPr>
                <w:rFonts w:hint="eastAsia" w:ascii="Arial" w:hAnsi="Arial" w:cs="Arial"/>
                <w:color w:val="000000"/>
                <w:kern w:val="0"/>
                <w:sz w:val="20"/>
              </w:rPr>
              <w:t>17.4</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Arial" w:hAnsi="Arial" w:cs="Arial"/>
                <w:color w:val="000000"/>
                <w:kern w:val="0"/>
                <w:sz w:val="20"/>
              </w:rPr>
            </w:pP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Arial" w:hAnsi="Arial" w:cs="Arial"/>
                <w:color w:val="000000"/>
                <w:kern w:val="0"/>
                <w:sz w:val="20"/>
              </w:rPr>
            </w:pPr>
            <w:r>
              <w:rPr>
                <w:rFonts w:ascii="Arial" w:hAnsi="Arial" w:cs="Arial"/>
                <w:color w:val="000000"/>
                <w:kern w:val="0"/>
                <w:sz w:val="20"/>
              </w:rPr>
              <w:t>17.4</w:t>
            </w: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color w:val="000000"/>
                <w:kern w:val="0"/>
                <w:sz w:val="22"/>
                <w:szCs w:val="22"/>
              </w:rPr>
            </w:pPr>
            <w:r>
              <w:rPr>
                <w:rFonts w:hint="eastAsia" w:ascii="宋体" w:hAnsi="宋体" w:cs="宋体"/>
                <w:color w:val="000000"/>
                <w:kern w:val="0"/>
                <w:sz w:val="18"/>
                <w:szCs w:val="18"/>
              </w:rPr>
              <w:t>2080505</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Arial" w:hAnsi="Arial" w:cs="Arial"/>
                <w:color w:val="000000"/>
                <w:kern w:val="0"/>
                <w:sz w:val="20"/>
              </w:rPr>
            </w:pPr>
            <w:r>
              <w:rPr>
                <w:rFonts w:hint="eastAsia" w:ascii="Arial" w:hAnsi="Arial" w:cs="Arial"/>
                <w:color w:val="000000"/>
                <w:kern w:val="0"/>
                <w:sz w:val="20"/>
              </w:rPr>
              <w:t>167.51</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Arial" w:hAnsi="Arial" w:cs="Arial"/>
                <w:color w:val="000000"/>
                <w:kern w:val="0"/>
                <w:sz w:val="20"/>
              </w:rPr>
            </w:pPr>
            <w:r>
              <w:rPr>
                <w:rFonts w:ascii="Arial" w:hAnsi="Arial" w:cs="Arial"/>
                <w:color w:val="000000"/>
                <w:kern w:val="0"/>
                <w:sz w:val="20"/>
              </w:rPr>
              <w:t>119.71</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Arial" w:hAnsi="Arial" w:cs="Arial"/>
                <w:color w:val="000000"/>
                <w:kern w:val="0"/>
                <w:sz w:val="20"/>
              </w:rPr>
            </w:pPr>
            <w:r>
              <w:rPr>
                <w:rFonts w:ascii="Arial" w:hAnsi="Arial" w:cs="Arial"/>
                <w:color w:val="000000"/>
                <w:kern w:val="0"/>
                <w:sz w:val="20"/>
              </w:rPr>
              <w:t>47.8</w:t>
            </w: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color w:val="000000"/>
                <w:kern w:val="0"/>
                <w:sz w:val="22"/>
                <w:szCs w:val="22"/>
              </w:rPr>
            </w:pPr>
            <w:r>
              <w:rPr>
                <w:rFonts w:hint="eastAsia" w:ascii="宋体" w:hAnsi="宋体" w:cs="宋体"/>
                <w:color w:val="000000"/>
                <w:kern w:val="0"/>
                <w:sz w:val="18"/>
                <w:szCs w:val="18"/>
              </w:rPr>
              <w:t>2080999</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Arial" w:hAnsi="Arial" w:cs="Arial"/>
                <w:color w:val="000000"/>
                <w:kern w:val="0"/>
                <w:sz w:val="20"/>
              </w:rPr>
            </w:pPr>
            <w:r>
              <w:rPr>
                <w:rFonts w:hint="eastAsia" w:ascii="Arial" w:hAnsi="Arial" w:cs="Arial"/>
                <w:color w:val="000000"/>
                <w:kern w:val="0"/>
                <w:sz w:val="20"/>
              </w:rPr>
              <w:t>10</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Arial" w:hAnsi="Arial" w:cs="Arial"/>
                <w:color w:val="000000"/>
                <w:kern w:val="0"/>
                <w:sz w:val="20"/>
              </w:rPr>
            </w:pPr>
            <w:r>
              <w:rPr>
                <w:rFonts w:hint="eastAsia" w:ascii="Arial" w:hAnsi="Arial" w:cs="Arial"/>
                <w:color w:val="000000"/>
                <w:kern w:val="0"/>
                <w:sz w:val="20"/>
              </w:rPr>
              <w:t>10</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Arial" w:hAnsi="Arial" w:cs="Arial"/>
                <w:color w:val="000000"/>
                <w:kern w:val="0"/>
                <w:sz w:val="20"/>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color w:val="000000"/>
                <w:kern w:val="0"/>
                <w:sz w:val="22"/>
                <w:szCs w:val="22"/>
              </w:rPr>
            </w:pPr>
            <w:r>
              <w:rPr>
                <w:rFonts w:hint="eastAsia" w:ascii="宋体" w:hAnsi="宋体" w:cs="宋体"/>
                <w:color w:val="000000"/>
                <w:kern w:val="0"/>
                <w:sz w:val="18"/>
                <w:szCs w:val="18"/>
              </w:rPr>
              <w:t>2101101</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Arial" w:hAnsi="Arial" w:cs="Arial"/>
                <w:color w:val="000000"/>
                <w:kern w:val="0"/>
                <w:sz w:val="20"/>
              </w:rPr>
            </w:pPr>
            <w:r>
              <w:rPr>
                <w:rFonts w:hint="eastAsia" w:ascii="Arial" w:hAnsi="Arial" w:cs="Arial"/>
                <w:color w:val="000000"/>
                <w:kern w:val="0"/>
                <w:sz w:val="20"/>
              </w:rPr>
              <w:t>55.8904</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Arial" w:hAnsi="Arial" w:cs="Arial"/>
                <w:color w:val="000000"/>
                <w:kern w:val="0"/>
                <w:sz w:val="20"/>
              </w:rPr>
            </w:pPr>
            <w:r>
              <w:rPr>
                <w:rFonts w:hint="eastAsia" w:ascii="Arial" w:hAnsi="Arial" w:cs="Arial"/>
                <w:color w:val="000000"/>
                <w:kern w:val="0"/>
                <w:sz w:val="20"/>
              </w:rPr>
              <w:t>55.8904</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Arial" w:hAnsi="Arial" w:cs="Arial"/>
                <w:color w:val="000000"/>
                <w:kern w:val="0"/>
                <w:sz w:val="20"/>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color w:val="000000"/>
                <w:kern w:val="0"/>
                <w:sz w:val="22"/>
                <w:szCs w:val="22"/>
              </w:rPr>
            </w:pPr>
            <w:r>
              <w:rPr>
                <w:rFonts w:hint="eastAsia" w:ascii="宋体" w:hAnsi="宋体" w:cs="宋体"/>
                <w:color w:val="000000"/>
                <w:kern w:val="0"/>
                <w:sz w:val="18"/>
                <w:szCs w:val="18"/>
              </w:rPr>
              <w:t>2101102</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Arial" w:hAnsi="Arial" w:cs="Arial"/>
                <w:color w:val="000000"/>
                <w:kern w:val="0"/>
                <w:sz w:val="20"/>
              </w:rPr>
            </w:pPr>
            <w:r>
              <w:rPr>
                <w:rFonts w:hint="eastAsia" w:ascii="Arial" w:hAnsi="Arial" w:cs="Arial"/>
                <w:color w:val="000000"/>
                <w:kern w:val="0"/>
                <w:sz w:val="20"/>
              </w:rPr>
              <w:t>44.27</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Arial" w:hAnsi="Arial" w:cs="Arial"/>
                <w:color w:val="000000"/>
                <w:kern w:val="0"/>
                <w:sz w:val="20"/>
              </w:rPr>
            </w:pPr>
            <w:r>
              <w:rPr>
                <w:rFonts w:ascii="Arial" w:hAnsi="Arial" w:cs="Arial"/>
                <w:color w:val="000000"/>
                <w:kern w:val="0"/>
                <w:sz w:val="20"/>
              </w:rPr>
              <w:t>17.98</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Arial" w:hAnsi="Arial" w:cs="Arial"/>
                <w:color w:val="000000"/>
                <w:kern w:val="0"/>
                <w:sz w:val="20"/>
              </w:rPr>
            </w:pPr>
            <w:r>
              <w:rPr>
                <w:rFonts w:ascii="Arial" w:hAnsi="Arial" w:cs="Arial"/>
                <w:color w:val="000000"/>
                <w:kern w:val="0"/>
                <w:sz w:val="20"/>
              </w:rPr>
              <w:t>26.29</w:t>
            </w: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color w:val="000000"/>
                <w:kern w:val="0"/>
                <w:sz w:val="22"/>
                <w:szCs w:val="22"/>
              </w:rPr>
            </w:pPr>
            <w:r>
              <w:rPr>
                <w:rFonts w:hint="eastAsia" w:ascii="宋体" w:hAnsi="宋体" w:cs="宋体"/>
                <w:color w:val="000000"/>
                <w:kern w:val="0"/>
                <w:sz w:val="18"/>
                <w:szCs w:val="18"/>
              </w:rPr>
              <w:t>2101103</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Arial" w:hAnsi="Arial" w:cs="Arial"/>
                <w:color w:val="000000"/>
                <w:kern w:val="0"/>
                <w:sz w:val="20"/>
              </w:rPr>
            </w:pPr>
            <w:r>
              <w:rPr>
                <w:rFonts w:hint="eastAsia" w:ascii="Arial" w:hAnsi="Arial" w:cs="Arial"/>
                <w:color w:val="000000"/>
                <w:kern w:val="0"/>
                <w:sz w:val="20"/>
              </w:rPr>
              <w:t>26.6408</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Arial" w:hAnsi="Arial" w:cs="Arial"/>
                <w:color w:val="000000"/>
                <w:kern w:val="0"/>
                <w:sz w:val="20"/>
              </w:rPr>
            </w:pPr>
            <w:r>
              <w:rPr>
                <w:rFonts w:ascii="Arial" w:hAnsi="Arial" w:cs="Arial"/>
                <w:color w:val="000000"/>
                <w:kern w:val="0"/>
                <w:sz w:val="20"/>
              </w:rPr>
              <w:t>26.3631</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Arial" w:hAnsi="Arial" w:cs="Arial"/>
                <w:color w:val="000000"/>
                <w:kern w:val="0"/>
                <w:sz w:val="20"/>
              </w:rPr>
            </w:pPr>
            <w:r>
              <w:rPr>
                <w:rFonts w:ascii="Arial" w:hAnsi="Arial" w:cs="Arial"/>
                <w:color w:val="000000"/>
                <w:kern w:val="0"/>
                <w:sz w:val="20"/>
              </w:rPr>
              <w:t>0.2777</w:t>
            </w: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color w:val="000000"/>
                <w:kern w:val="0"/>
                <w:sz w:val="22"/>
                <w:szCs w:val="22"/>
              </w:rPr>
            </w:pPr>
            <w:r>
              <w:rPr>
                <w:rFonts w:hint="eastAsia" w:ascii="宋体" w:hAnsi="宋体" w:cs="宋体"/>
                <w:color w:val="000000"/>
                <w:kern w:val="0"/>
                <w:sz w:val="18"/>
                <w:szCs w:val="18"/>
              </w:rPr>
              <w:t>2110101</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Arial" w:hAnsi="Arial" w:cs="Arial"/>
                <w:color w:val="000000"/>
                <w:kern w:val="0"/>
                <w:sz w:val="20"/>
              </w:rPr>
            </w:pPr>
            <w:r>
              <w:rPr>
                <w:rFonts w:hint="eastAsia" w:ascii="Arial" w:hAnsi="Arial" w:cs="Arial"/>
                <w:color w:val="000000"/>
                <w:kern w:val="0"/>
                <w:sz w:val="20"/>
              </w:rPr>
              <w:t>1200.4837</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Arial" w:hAnsi="Arial" w:cs="Arial"/>
                <w:color w:val="000000"/>
                <w:kern w:val="0"/>
                <w:sz w:val="20"/>
              </w:rPr>
            </w:pPr>
            <w:r>
              <w:rPr>
                <w:rFonts w:hint="eastAsia" w:ascii="Arial" w:hAnsi="Arial" w:cs="Arial"/>
                <w:color w:val="000000"/>
                <w:kern w:val="0"/>
                <w:sz w:val="20"/>
              </w:rPr>
              <w:t>1200.4837</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Arial" w:hAnsi="Arial" w:cs="Arial"/>
                <w:color w:val="000000"/>
                <w:kern w:val="0"/>
                <w:sz w:val="20"/>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color w:val="000000"/>
                <w:kern w:val="0"/>
                <w:sz w:val="22"/>
                <w:szCs w:val="22"/>
              </w:rPr>
            </w:pPr>
            <w:r>
              <w:rPr>
                <w:rFonts w:hint="eastAsia" w:ascii="宋体" w:hAnsi="宋体" w:cs="宋体"/>
                <w:color w:val="000000"/>
                <w:kern w:val="0"/>
                <w:sz w:val="18"/>
                <w:szCs w:val="18"/>
              </w:rPr>
              <w:t>2110104</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Arial" w:hAnsi="Arial" w:cs="Arial"/>
                <w:color w:val="000000"/>
                <w:kern w:val="0"/>
                <w:sz w:val="20"/>
              </w:rPr>
            </w:pPr>
            <w:r>
              <w:rPr>
                <w:rFonts w:hint="eastAsia" w:ascii="Arial" w:hAnsi="Arial" w:cs="Arial"/>
                <w:color w:val="000000"/>
                <w:kern w:val="0"/>
                <w:sz w:val="20"/>
              </w:rPr>
              <w:t>20</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Arial" w:hAnsi="Arial" w:cs="Arial"/>
                <w:color w:val="000000"/>
                <w:kern w:val="0"/>
                <w:sz w:val="20"/>
              </w:rPr>
            </w:pPr>
            <w:r>
              <w:rPr>
                <w:rFonts w:hint="eastAsia" w:ascii="Arial" w:hAnsi="Arial" w:cs="Arial"/>
                <w:color w:val="000000"/>
                <w:kern w:val="0"/>
                <w:sz w:val="20"/>
              </w:rPr>
              <w:t>20</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Arial" w:hAnsi="Arial" w:cs="Arial"/>
                <w:color w:val="000000"/>
                <w:kern w:val="0"/>
                <w:sz w:val="20"/>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color w:val="000000"/>
                <w:kern w:val="0"/>
                <w:sz w:val="22"/>
                <w:szCs w:val="22"/>
              </w:rPr>
            </w:pPr>
            <w:r>
              <w:rPr>
                <w:rFonts w:hint="eastAsia" w:ascii="宋体" w:hAnsi="宋体" w:cs="宋体"/>
                <w:color w:val="000000"/>
                <w:kern w:val="0"/>
                <w:sz w:val="18"/>
                <w:szCs w:val="18"/>
              </w:rPr>
              <w:t>2110199</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Arial" w:hAnsi="Arial" w:cs="Arial"/>
                <w:color w:val="000000"/>
                <w:kern w:val="0"/>
                <w:sz w:val="20"/>
              </w:rPr>
            </w:pPr>
            <w:r>
              <w:rPr>
                <w:rFonts w:hint="eastAsia" w:ascii="Arial" w:hAnsi="Arial" w:cs="Arial"/>
                <w:color w:val="000000"/>
                <w:kern w:val="0"/>
                <w:sz w:val="20"/>
              </w:rPr>
              <w:t>50</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Arial" w:hAnsi="Arial" w:cs="Arial"/>
                <w:color w:val="000000"/>
                <w:kern w:val="0"/>
                <w:sz w:val="20"/>
              </w:rPr>
            </w:pPr>
            <w:r>
              <w:rPr>
                <w:rFonts w:hint="eastAsia" w:ascii="Arial" w:hAnsi="Arial" w:cs="Arial"/>
                <w:color w:val="000000"/>
                <w:kern w:val="0"/>
                <w:sz w:val="20"/>
              </w:rPr>
              <w:t>50</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Arial" w:hAnsi="Arial" w:cs="Arial"/>
                <w:color w:val="000000"/>
                <w:kern w:val="0"/>
                <w:sz w:val="20"/>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color w:val="000000"/>
                <w:kern w:val="0"/>
                <w:sz w:val="22"/>
                <w:szCs w:val="22"/>
              </w:rPr>
            </w:pPr>
            <w:r>
              <w:rPr>
                <w:rFonts w:hint="eastAsia" w:ascii="宋体" w:hAnsi="宋体" w:cs="宋体"/>
                <w:color w:val="000000"/>
                <w:kern w:val="0"/>
                <w:sz w:val="18"/>
                <w:szCs w:val="18"/>
              </w:rPr>
              <w:t>2110301</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Arial" w:hAnsi="Arial" w:cs="Arial"/>
                <w:color w:val="000000"/>
                <w:kern w:val="0"/>
                <w:sz w:val="20"/>
              </w:rPr>
            </w:pPr>
            <w:r>
              <w:rPr>
                <w:rFonts w:hint="eastAsia" w:ascii="Arial" w:hAnsi="Arial" w:cs="Arial"/>
                <w:color w:val="000000"/>
                <w:kern w:val="0"/>
                <w:sz w:val="20"/>
              </w:rPr>
              <w:t>5</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Arial" w:hAnsi="Arial" w:cs="Arial"/>
                <w:color w:val="000000"/>
                <w:kern w:val="0"/>
                <w:sz w:val="20"/>
              </w:rPr>
            </w:pP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Arial" w:hAnsi="Arial" w:cs="Arial"/>
                <w:color w:val="000000"/>
                <w:kern w:val="0"/>
                <w:sz w:val="20"/>
              </w:rPr>
            </w:pPr>
            <w:r>
              <w:rPr>
                <w:rFonts w:ascii="Arial" w:hAnsi="Arial" w:cs="Arial"/>
                <w:color w:val="000000"/>
                <w:kern w:val="0"/>
                <w:sz w:val="20"/>
              </w:rPr>
              <w:t>5</w:t>
            </w: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宋体"/>
                <w:color w:val="000000"/>
                <w:kern w:val="0"/>
                <w:sz w:val="22"/>
                <w:szCs w:val="22"/>
              </w:rPr>
            </w:pPr>
            <w:r>
              <w:rPr>
                <w:rFonts w:hint="eastAsia" w:ascii="宋体" w:hAnsi="宋体" w:cs="宋体"/>
                <w:color w:val="000000"/>
                <w:kern w:val="0"/>
                <w:sz w:val="18"/>
                <w:szCs w:val="18"/>
              </w:rPr>
              <w:t>2110303</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Arial" w:hAnsi="Arial" w:cs="Arial"/>
                <w:color w:val="000000"/>
                <w:kern w:val="0"/>
                <w:sz w:val="20"/>
              </w:rPr>
            </w:pPr>
            <w:r>
              <w:rPr>
                <w:rFonts w:hint="eastAsia" w:ascii="Arial" w:hAnsi="Arial" w:cs="Arial"/>
                <w:color w:val="000000"/>
                <w:kern w:val="0"/>
                <w:sz w:val="20"/>
              </w:rPr>
              <w:t>5</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Arial" w:hAnsi="Arial" w:cs="Arial"/>
                <w:color w:val="000000"/>
                <w:kern w:val="0"/>
                <w:sz w:val="20"/>
              </w:rPr>
            </w:pP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Arial" w:hAnsi="Arial" w:cs="Arial"/>
                <w:color w:val="000000"/>
                <w:kern w:val="0"/>
                <w:sz w:val="20"/>
              </w:rPr>
            </w:pPr>
            <w:r>
              <w:rPr>
                <w:rFonts w:ascii="Arial" w:hAnsi="Arial" w:cs="Arial"/>
                <w:color w:val="000000"/>
                <w:kern w:val="0"/>
                <w:sz w:val="20"/>
              </w:rPr>
              <w:t>5</w:t>
            </w: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2210201</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Arial" w:hAnsi="Arial" w:cs="Arial"/>
                <w:color w:val="000000"/>
                <w:kern w:val="0"/>
                <w:sz w:val="20"/>
              </w:rPr>
            </w:pPr>
            <w:r>
              <w:rPr>
                <w:rFonts w:hint="eastAsia" w:ascii="Arial" w:hAnsi="Arial" w:cs="Arial"/>
                <w:color w:val="000000"/>
                <w:kern w:val="0"/>
                <w:sz w:val="20"/>
              </w:rPr>
              <w:t>108.25</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Arial" w:hAnsi="Arial" w:cs="Arial"/>
                <w:color w:val="000000"/>
                <w:kern w:val="0"/>
                <w:sz w:val="20"/>
              </w:rPr>
            </w:pPr>
            <w:r>
              <w:rPr>
                <w:rFonts w:ascii="Arial" w:hAnsi="Arial" w:cs="Arial"/>
                <w:color w:val="000000"/>
                <w:kern w:val="0"/>
                <w:sz w:val="20"/>
              </w:rPr>
              <w:t>89.79</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Arial" w:hAnsi="Arial" w:cs="Arial"/>
                <w:color w:val="000000"/>
                <w:kern w:val="0"/>
                <w:sz w:val="20"/>
              </w:rPr>
            </w:pPr>
            <w:r>
              <w:rPr>
                <w:rFonts w:ascii="Arial" w:hAnsi="Arial" w:cs="Arial"/>
                <w:color w:val="000000"/>
                <w:kern w:val="0"/>
                <w:sz w:val="20"/>
              </w:rPr>
              <w:t>18.46</w:t>
            </w: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r>
      <w:tr>
        <w:tblPrEx>
          <w:tblCellMar>
            <w:top w:w="15" w:type="dxa"/>
            <w:left w:w="108" w:type="dxa"/>
            <w:bottom w:w="15" w:type="dxa"/>
            <w:right w:w="108" w:type="dxa"/>
          </w:tblCellMar>
        </w:tblPrEx>
        <w:trPr>
          <w:trHeight w:val="360" w:hRule="atLeast"/>
        </w:trPr>
        <w:tc>
          <w:tcPr>
            <w:tcW w:w="19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2110299</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Arial" w:hAnsi="Arial" w:cs="Arial"/>
                <w:color w:val="000000"/>
                <w:kern w:val="0"/>
                <w:sz w:val="20"/>
              </w:rPr>
            </w:pPr>
            <w:r>
              <w:rPr>
                <w:rFonts w:hint="eastAsia" w:ascii="Arial" w:hAnsi="Arial" w:cs="Arial"/>
                <w:color w:val="000000"/>
                <w:kern w:val="0"/>
                <w:sz w:val="20"/>
              </w:rPr>
              <w:t>1484.16</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Arial" w:hAnsi="Arial" w:cs="Arial"/>
                <w:color w:val="000000"/>
                <w:kern w:val="0"/>
                <w:sz w:val="20"/>
              </w:rPr>
            </w:pPr>
            <w:r>
              <w:rPr>
                <w:rFonts w:ascii="Arial" w:hAnsi="Arial" w:cs="Arial"/>
                <w:color w:val="000000"/>
                <w:kern w:val="0"/>
                <w:sz w:val="20"/>
              </w:rPr>
              <w:t>462</w:t>
            </w:r>
          </w:p>
        </w:tc>
        <w:tc>
          <w:tcPr>
            <w:tcW w:w="13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Arial" w:hAnsi="Arial" w:cs="Arial"/>
                <w:color w:val="000000"/>
                <w:kern w:val="0"/>
                <w:sz w:val="20"/>
              </w:rPr>
            </w:pPr>
            <w:r>
              <w:rPr>
                <w:rFonts w:ascii="Arial" w:hAnsi="Arial" w:cs="Arial"/>
                <w:color w:val="000000"/>
                <w:kern w:val="0"/>
                <w:sz w:val="20"/>
              </w:rPr>
              <w:t>1022.16</w:t>
            </w: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16"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c>
          <w:tcPr>
            <w:tcW w:w="1307" w:type="dxa"/>
            <w:tcBorders>
              <w:top w:val="single" w:color="000000" w:sz="4" w:space="0"/>
              <w:left w:val="single" w:color="000000" w:sz="4" w:space="0"/>
              <w:bottom w:val="single" w:color="000000" w:sz="4" w:space="0"/>
              <w:right w:val="single" w:color="000000" w:sz="4" w:space="0"/>
            </w:tcBorders>
            <w:vAlign w:val="bottom"/>
          </w:tcPr>
          <w:p>
            <w:pPr>
              <w:widowControl/>
              <w:jc w:val="left"/>
              <w:rPr>
                <w:rFonts w:cs="宋体"/>
                <w:color w:val="000000"/>
                <w:kern w:val="0"/>
                <w:sz w:val="22"/>
                <w:szCs w:val="22"/>
              </w:rPr>
            </w:pPr>
          </w:p>
        </w:tc>
      </w:tr>
    </w:tbl>
    <w:p>
      <w:pPr>
        <w:rPr>
          <w:color w:val="000000"/>
        </w:rPr>
        <w:sectPr>
          <w:footerReference r:id="rId4" w:type="default"/>
          <w:footerReference r:id="rId5" w:type="even"/>
          <w:pgSz w:w="16838" w:h="11906" w:orient="landscape"/>
          <w:pgMar w:top="1797" w:right="1440" w:bottom="1797" w:left="1440" w:header="851" w:footer="992" w:gutter="0"/>
          <w:cols w:space="720" w:num="1"/>
          <w:docGrid w:type="linesAndChars" w:linePitch="312" w:charSpace="0"/>
        </w:sectPr>
      </w:pPr>
    </w:p>
    <w:p>
      <w:pPr>
        <w:widowControl/>
        <w:jc w:val="center"/>
        <w:outlineLvl w:val="1"/>
        <w:rPr>
          <w:rFonts w:ascii="方正小标宋简体" w:hAnsi="宋体" w:eastAsia="方正小标宋简体"/>
          <w:b/>
          <w:bCs/>
          <w:color w:val="000000"/>
          <w:kern w:val="0"/>
          <w:sz w:val="36"/>
          <w:szCs w:val="36"/>
        </w:rPr>
      </w:pPr>
      <w:r>
        <w:rPr>
          <w:rFonts w:hint="eastAsia" w:ascii="方正小标宋简体" w:hAnsi="宋体" w:eastAsia="方正小标宋简体"/>
          <w:b/>
          <w:bCs/>
          <w:color w:val="000000"/>
          <w:kern w:val="0"/>
          <w:sz w:val="36"/>
          <w:szCs w:val="36"/>
        </w:rPr>
        <w:t>吴忠市生态环境局汇总2021年部门预算——部门预算情况说明</w:t>
      </w:r>
    </w:p>
    <w:p>
      <w:pPr>
        <w:widowControl/>
        <w:jc w:val="left"/>
        <w:outlineLvl w:val="1"/>
        <w:rPr>
          <w:rFonts w:ascii="仿宋_GB2312" w:hAnsi="宋体" w:eastAsia="仿宋_GB2312"/>
          <w:color w:val="000000"/>
          <w:kern w:val="0"/>
          <w:sz w:val="36"/>
          <w:szCs w:val="36"/>
        </w:rPr>
      </w:pPr>
      <w:r>
        <w:rPr>
          <w:rFonts w:hint="eastAsia" w:ascii="仿宋_GB2312" w:hAnsi="宋体" w:eastAsia="仿宋_GB2312"/>
          <w:b/>
          <w:bCs/>
          <w:color w:val="000000"/>
          <w:kern w:val="0"/>
          <w:sz w:val="36"/>
          <w:szCs w:val="36"/>
        </w:rPr>
        <w:t xml:space="preserve"> </w:t>
      </w:r>
    </w:p>
    <w:p>
      <w:pPr>
        <w:widowControl/>
        <w:spacing w:line="560" w:lineRule="exact"/>
        <w:ind w:firstLine="643" w:firstLineChars="200"/>
        <w:jc w:val="left"/>
        <w:rPr>
          <w:rFonts w:ascii="仿宋_GB2312" w:eastAsia="仿宋_GB2312" w:cs="宋体"/>
          <w:b/>
          <w:color w:val="000000"/>
          <w:kern w:val="0"/>
          <w:sz w:val="32"/>
          <w:szCs w:val="32"/>
        </w:rPr>
      </w:pPr>
      <w:r>
        <w:rPr>
          <w:rFonts w:hint="eastAsia" w:ascii="仿宋_GB2312" w:eastAsia="仿宋_GB2312" w:cs="宋体"/>
          <w:b/>
          <w:color w:val="000000"/>
          <w:kern w:val="0"/>
          <w:sz w:val="32"/>
          <w:szCs w:val="32"/>
        </w:rPr>
        <w:t>一、关于吴忠市生态环境局汇总2021年财政拨款收支预算情况的总体说明</w:t>
      </w:r>
    </w:p>
    <w:p>
      <w:pPr>
        <w:widowControl/>
        <w:spacing w:line="560" w:lineRule="exact"/>
        <w:ind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吴忠市生态环境局汇总2021年财政拨款收入预算2971.2453万元，其中：本年收入2971.2453万元，包括一般公共预算拨款2971.2453万元，政府性基金预算拨款0万元；上年结转结余0万元。支出预算2971.2453万元，包括：社会保障和就业支出214.11万元、卫生健康支出126.8万元、节能环保支出2764.64万元、住房保障支出108.25万元。</w:t>
      </w:r>
    </w:p>
    <w:p>
      <w:pPr>
        <w:widowControl/>
        <w:spacing w:line="560" w:lineRule="exact"/>
        <w:ind w:firstLine="480"/>
        <w:jc w:val="left"/>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二、关于吴忠市生态环境局汇总2021年一般公共预算财政拨款支出情况说明</w:t>
      </w:r>
    </w:p>
    <w:p>
      <w:pPr>
        <w:widowControl/>
        <w:spacing w:line="560" w:lineRule="exact"/>
        <w:ind w:firstLine="480"/>
        <w:jc w:val="left"/>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（一）基本支出情况说明</w:t>
      </w:r>
    </w:p>
    <w:p>
      <w:pPr>
        <w:widowControl/>
        <w:spacing w:line="560" w:lineRule="exact"/>
        <w:ind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吴忠市生态环境局汇总2021年一般公共预算财政拨款基本支出2112.3049万元，其中：本年收入安排支出2112.3049万元，上年结转资金安排支出0万元。比2020年执行数（决算数）减少266.6018万元，下降11.21 %。</w:t>
      </w:r>
    </w:p>
    <w:p>
      <w:pPr>
        <w:widowControl/>
        <w:spacing w:line="560" w:lineRule="exact"/>
        <w:ind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人员经费1984.0749万元，主要包括：基本工资543.5248万元、津贴补贴397.5208万元、奖金380.7997万元、绩效工资207.7488万元、职工基本医疗保险缴费92.13万元、机关事业单位基本养老保险缴费167.51万元、公务员医疗补助缴费26.6408万元、其他社会保障缴费1.68万元、住房公积金125.64万元、其他工资福利支出2.5万元、生活补助1.78万元、退休费36.6万元。</w:t>
      </w:r>
    </w:p>
    <w:p>
      <w:pPr>
        <w:widowControl/>
        <w:spacing w:line="560" w:lineRule="exact"/>
        <w:ind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公用经费128.23万元，主要包括：办公费84.6万元、维修（护）费1万元、会议费0.5万元、培训费0.4万元、公务接待费0.15万元、委托业务费4.36万元、公务用车运行维护费6.6万元、其他商品和服务支出29.12万元。。</w:t>
      </w:r>
    </w:p>
    <w:p>
      <w:pPr>
        <w:widowControl/>
        <w:spacing w:line="560" w:lineRule="exact"/>
        <w:ind w:firstLine="480"/>
        <w:jc w:val="lef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（二）项目支出情况说明</w:t>
      </w:r>
    </w:p>
    <w:p>
      <w:pPr>
        <w:widowControl/>
        <w:spacing w:line="560" w:lineRule="exact"/>
        <w:ind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吴忠市生态环境局汇总2021年一般公共预算财政拨款项目支出1101.5万元，其中：本年收入安排支出1101.5万元，上年结转结余资金安排支出0万元。包括：工资福利支出325.12万元、商品和服务支出216.88万元、对企业补助费用0万元、资本性支出2021年预算0万元、对事业单位经常性补助2021年预算559.5万元。2021年项目预算比2020年执行数（决算数）减少6064.69万元，下降84.63%。</w:t>
      </w:r>
    </w:p>
    <w:p>
      <w:pPr>
        <w:widowControl/>
        <w:spacing w:line="560" w:lineRule="exact"/>
        <w:ind w:firstLine="643" w:firstLineChars="200"/>
        <w:jc w:val="left"/>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三、关于吴忠市生态环境局汇总2021年一般公共预算财政拨款“三公”经费预算情况说明</w:t>
      </w:r>
    </w:p>
    <w:p>
      <w:pPr>
        <w:widowControl/>
        <w:spacing w:line="560" w:lineRule="exact"/>
        <w:ind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吴忠市生态环境局汇总2021年“三公”经费财政拨款预算数为27.85万元，其中：因公出国（境）费0万元，公务用车购置0万元，公务用车运行费27.85万元，公务接待费0万元。</w:t>
      </w:r>
    </w:p>
    <w:p>
      <w:pPr>
        <w:widowControl/>
        <w:spacing w:line="560" w:lineRule="exact"/>
        <w:ind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2021年“三公”经费财政拨款预算比2020年决算数增加5.65万元，其中：因公出国（境）费增加0万元，主要原因:多年均无出国预算，也无出国需求；公务用车购置费增加0万元，主要原因公车改革，行政机构无保留车辆，事业单位未新增车辆；公务用车运行费增加5.43万元，主要原因 机构改革，分局上划后公务车费用预算标准标准增加 ；公务接待费增加0.25万元，主要原因： 2021年利通分局预算0.25万元。</w:t>
      </w:r>
      <w:r>
        <w:rPr>
          <w:rFonts w:hint="eastAsia" w:ascii="仿宋_GB2312" w:hAnsi="宋体" w:eastAsia="仿宋_GB2312" w:cs="宋体"/>
          <w:color w:val="000000"/>
          <w:kern w:val="0"/>
          <w:sz w:val="32"/>
          <w:szCs w:val="32"/>
          <w:highlight w:val="yellow"/>
        </w:rPr>
        <w:t xml:space="preserve">   </w:t>
      </w:r>
      <w:r>
        <w:rPr>
          <w:rFonts w:hint="eastAsia" w:ascii="仿宋_GB2312" w:hAnsi="宋体" w:eastAsia="仿宋_GB2312" w:cs="宋体"/>
          <w:color w:val="000000"/>
          <w:kern w:val="0"/>
          <w:sz w:val="32"/>
          <w:szCs w:val="32"/>
        </w:rPr>
        <w:t xml:space="preserve">   </w:t>
      </w:r>
    </w:p>
    <w:p>
      <w:pPr>
        <w:widowControl/>
        <w:spacing w:line="560" w:lineRule="exact"/>
        <w:ind w:firstLine="480"/>
        <w:jc w:val="left"/>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四、关于吴忠市生态环境局汇总2021年政府性基金预算拨款情况说明</w:t>
      </w:r>
    </w:p>
    <w:p>
      <w:pPr>
        <w:widowControl/>
        <w:spacing w:line="560" w:lineRule="exact"/>
        <w:ind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吴忠市生态环境局（汇总）包括本级及7个下属单位2021年均无政府性基金预算财政拨款收支。</w:t>
      </w:r>
    </w:p>
    <w:p>
      <w:pPr>
        <w:widowControl/>
        <w:spacing w:line="560" w:lineRule="exact"/>
        <w:ind w:firstLine="480"/>
        <w:jc w:val="left"/>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五、关于吴忠市生态环境局汇总2021年收支预算情况的总体说明</w:t>
      </w:r>
    </w:p>
    <w:p>
      <w:pPr>
        <w:widowControl/>
        <w:spacing w:line="560" w:lineRule="exact"/>
        <w:ind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吴忠市生态环境局汇总2021年收入总预算2971.2453万元，其中：本年收入2971.2453万元，上年结转结余0万元；支出总预算2971.2453万元，其中：本年支出2971.2453万元，年末结转结余0万元。</w:t>
      </w:r>
    </w:p>
    <w:p>
      <w:pPr>
        <w:widowControl/>
        <w:spacing w:line="560" w:lineRule="exact"/>
        <w:ind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年收入包括：财政拨款预算收入2971.2453万元，占100%；事业预算收入0万元，占0%；上级补助预算收入0万元，占0%；附属单位上缴预算收入0万元，占0%；经营预算收入0万元，占0%；债务预算收入0万元，占0%；非同级财政拨款预算收入0万元，占0%；投资预算收益0万元，占0%；其他预算收入0万元，占0%。</w:t>
      </w:r>
    </w:p>
    <w:p>
      <w:pPr>
        <w:widowControl/>
        <w:spacing w:line="560" w:lineRule="exact"/>
        <w:ind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年支出包括：行政支出1828.857600万元，占61.55%；事业支出1142.387700万元，占38.45%；经营支出0万元，占0%；上缴上级支出0万元，占0%；对附属单位补助支出0万元，占0%；投资支出0万元，占0%；债务还本支出0万元，占0%；其他支出0万元，占0%。</w:t>
      </w:r>
    </w:p>
    <w:p>
      <w:pPr>
        <w:widowControl/>
        <w:spacing w:line="560" w:lineRule="exact"/>
        <w:ind w:firstLine="480"/>
        <w:jc w:val="left"/>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六、其他重要事项的情况说明</w:t>
      </w:r>
    </w:p>
    <w:p>
      <w:pPr>
        <w:widowControl/>
        <w:spacing w:line="560" w:lineRule="exact"/>
        <w:ind w:firstLine="480"/>
        <w:jc w:val="left"/>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（一）机关运行经费</w:t>
      </w:r>
    </w:p>
    <w:p>
      <w:pPr>
        <w:widowControl/>
        <w:spacing w:line="560" w:lineRule="exact"/>
        <w:ind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2021年，吴忠市生态环境局汇总机关运行经费财政拨款预算116.82万元，比2020年预算增加58.66万元。下降100.86%。</w:t>
      </w:r>
    </w:p>
    <w:p>
      <w:pPr>
        <w:widowControl/>
        <w:spacing w:line="560" w:lineRule="exact"/>
        <w:ind w:firstLine="480"/>
        <w:jc w:val="left"/>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（二）政府采购情况</w:t>
      </w:r>
    </w:p>
    <w:p>
      <w:pPr>
        <w:widowControl/>
        <w:spacing w:line="560" w:lineRule="exact"/>
        <w:ind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2021年，吴忠市生态环境局汇总政府采购预算137.35万元，其中：政府采购货物预算72.15万元，政府采购工程预算0万元，政府采购服务预算65.2元。</w:t>
      </w:r>
    </w:p>
    <w:p>
      <w:pPr>
        <w:widowControl/>
        <w:spacing w:line="560" w:lineRule="exact"/>
        <w:ind w:firstLine="480"/>
        <w:jc w:val="left"/>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（三）国有资产占用使用情况</w:t>
      </w:r>
    </w:p>
    <w:p>
      <w:pPr>
        <w:widowControl/>
        <w:spacing w:line="560" w:lineRule="exact"/>
        <w:ind w:firstLine="480"/>
        <w:jc w:val="left"/>
        <w:rPr>
          <w:rFonts w:ascii="仿宋_GB2312" w:hAnsi="宋体" w:eastAsia="仿宋_GB2312" w:cs="宋体"/>
          <w:color w:val="000000"/>
          <w:kern w:val="0"/>
          <w:sz w:val="32"/>
          <w:szCs w:val="32"/>
          <w:highlight w:val="yellow"/>
        </w:rPr>
      </w:pPr>
      <w:r>
        <w:rPr>
          <w:rFonts w:hint="eastAsia" w:ascii="仿宋_GB2312" w:hAnsi="宋体" w:eastAsia="仿宋_GB2312" w:cs="宋体"/>
          <w:color w:val="000000"/>
          <w:kern w:val="0"/>
          <w:sz w:val="32"/>
          <w:szCs w:val="32"/>
        </w:rPr>
        <w:t>截至2020年12月31日，吴忠市生态环境局汇总占用使用国有资产总体情况为房屋11918.96平方米，价值4191.81万元；土地0平方米，价值0万元；专用车辆及执法监测车辆43辆，价值2111.84万元；办公家具价值295.225万元；其他资产价值4287.36万元。国有资产分布情况为：</w:t>
      </w:r>
    </w:p>
    <w:p>
      <w:pPr>
        <w:widowControl/>
        <w:numPr>
          <w:ilvl w:val="0"/>
          <w:numId w:val="2"/>
        </w:numPr>
        <w:spacing w:line="560" w:lineRule="exact"/>
        <w:ind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吴忠市生态环境局本级房屋7115.34平方米，价值3129.84万元；土地0平方米，价值0万元；清扫抑尘车辆14辆，价值930.40万元；办公家具价值175.59万元；其他资产价值481.84万元。</w:t>
      </w:r>
    </w:p>
    <w:p>
      <w:pPr>
        <w:widowControl/>
        <w:numPr>
          <w:ilvl w:val="0"/>
          <w:numId w:val="2"/>
        </w:numPr>
        <w:spacing w:line="560" w:lineRule="exact"/>
        <w:ind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吴忠市生态环境保护综合执法支队房屋0平方米，价值0万元；土地0平方米，价值0万元；车辆8辆，价值147.39万元；办公家具价值17.54万元；其他资产价值121.66万元。</w:t>
      </w:r>
    </w:p>
    <w:p>
      <w:pPr>
        <w:widowControl/>
        <w:numPr>
          <w:ilvl w:val="0"/>
          <w:numId w:val="2"/>
        </w:numPr>
        <w:spacing w:line="560" w:lineRule="exact"/>
        <w:ind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吴忠市生态环境监测站房屋387.62平方米，价值38.35万元；土地0平方米，价值 0 万元；车辆7辆，价值187.79万元；办公家具价值20.21万元；其他资产价值2590.92万元。</w:t>
      </w:r>
    </w:p>
    <w:p>
      <w:pPr>
        <w:widowControl/>
        <w:numPr>
          <w:ilvl w:val="0"/>
          <w:numId w:val="2"/>
        </w:numPr>
        <w:spacing w:line="560" w:lineRule="exact"/>
        <w:ind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吴忠市生态环境局利通分局房屋0平方米，价值0万元；土地0平方米，价值0万元；车辆0辆，价值0万元；办公家具价值4.68万元；其他资产价值10.85万元。</w:t>
      </w:r>
    </w:p>
    <w:p>
      <w:pPr>
        <w:widowControl/>
        <w:numPr>
          <w:ilvl w:val="0"/>
          <w:numId w:val="2"/>
        </w:numPr>
        <w:spacing w:line="560" w:lineRule="exact"/>
        <w:ind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吴忠市生态环境局红寺堡分局房屋0.00平方米，价值0.00万元；土地0.00平方米，价值0.00万元；车辆2辆，价值145.80万元；办公家具价值4.84万元；其他资产价值19.09万元。</w:t>
      </w:r>
    </w:p>
    <w:p>
      <w:pPr>
        <w:widowControl/>
        <w:numPr>
          <w:ilvl w:val="0"/>
          <w:numId w:val="2"/>
        </w:numPr>
        <w:spacing w:line="560" w:lineRule="exact"/>
        <w:ind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吴忠市生态环境局青铜峡分局占用使用国有资产总体情况为房屋4416平方米，价值1023.62万元；土地0平方米，价值0万元；车辆8辆，价值548.18万元；办公家具价值49.99万元；其他资产价值591.45万元。</w:t>
      </w:r>
    </w:p>
    <w:p>
      <w:pPr>
        <w:widowControl/>
        <w:numPr>
          <w:ilvl w:val="0"/>
          <w:numId w:val="2"/>
        </w:numPr>
        <w:spacing w:line="560" w:lineRule="exact"/>
        <w:ind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吴忠市生态环境局盐池分局房屋0.00平方米，价值0.00万元；土地0.00平方米，价值0.00万元；车辆2辆，价值45.28万元；办公家具价值14.17万元；其他资产价值113.24万元。</w:t>
      </w:r>
    </w:p>
    <w:p>
      <w:pPr>
        <w:widowControl/>
        <w:numPr>
          <w:ilvl w:val="0"/>
          <w:numId w:val="2"/>
        </w:numPr>
        <w:spacing w:line="560" w:lineRule="exact"/>
        <w:ind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吴忠市生态环境局同心分局占用使用国有资产总体情况为房屋 0平方米，价值0万元；土地 0平方米，价值0万元；车辆2辆，价值107万元；办公家具价值8.205万元；其他资产价值358.309817万元。</w:t>
      </w:r>
    </w:p>
    <w:p>
      <w:pPr>
        <w:widowControl/>
        <w:spacing w:line="560" w:lineRule="exact"/>
        <w:ind w:firstLine="480"/>
        <w:jc w:val="left"/>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（四）预算绩效情况</w:t>
      </w:r>
    </w:p>
    <w:p>
      <w:pPr>
        <w:widowControl/>
        <w:spacing w:line="560" w:lineRule="exact"/>
        <w:ind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2021年，吴忠市生态环境局汇总预算批复24个项目资金1091.50万元，列入预算的项目均为当年一次性项目，无中长期项目，项目费用主要用于2021年全市环保系统环境管理、执法及监测等方面支出。2021年项目预算资金将全力保障吴忠市生态环境保护工作的顺利开展，确保人民群众“呼吸新鲜空气、喝干净的水”，为建设“天更蓝、水更清”的“生态吴忠”、“水韵吴忠”提供有力保障。项目资金总体目标为截止年底资金使用率达90%以上。</w:t>
      </w:r>
    </w:p>
    <w:p>
      <w:pPr>
        <w:widowControl/>
        <w:spacing w:line="560" w:lineRule="exact"/>
        <w:ind w:firstLine="480"/>
        <w:jc w:val="left"/>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（五）其他需说明的事项</w:t>
      </w:r>
    </w:p>
    <w:p>
      <w:pPr>
        <w:widowControl/>
        <w:spacing w:line="560" w:lineRule="exact"/>
        <w:ind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1、2021年预算无购房补贴，原因为2021全市住房补贴均由财政部门代编，统一列入财政总预算。</w:t>
      </w:r>
    </w:p>
    <w:p>
      <w:pPr>
        <w:widowControl/>
        <w:spacing w:line="560" w:lineRule="exact"/>
        <w:ind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2021年总体预算较2020年决算数下降幅度较大，主要原因为2021年预算数只反映市本级预算，而2020年决算数包括国家和自治区2020年前和2020年当年下达的建设项目资金，故2021年总体预算较2020年决算数下降幅度较大。</w:t>
      </w:r>
    </w:p>
    <w:p>
      <w:pPr>
        <w:widowControl/>
        <w:spacing w:line="560" w:lineRule="exact"/>
        <w:ind w:firstLine="480"/>
        <w:jc w:val="left"/>
        <w:rPr>
          <w:rFonts w:ascii="仿宋_GB2312" w:hAnsi="宋体" w:eastAsia="仿宋_GB2312" w:cs="宋体"/>
          <w:color w:val="000000"/>
          <w:kern w:val="0"/>
          <w:sz w:val="32"/>
          <w:szCs w:val="32"/>
        </w:rPr>
      </w:pPr>
    </w:p>
    <w:p>
      <w:pPr>
        <w:widowControl/>
        <w:spacing w:line="560" w:lineRule="exact"/>
        <w:ind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br w:type="page"/>
      </w:r>
    </w:p>
    <w:p>
      <w:pPr>
        <w:widowControl/>
        <w:spacing w:line="560" w:lineRule="exact"/>
        <w:jc w:val="left"/>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吴忠市生态环境局汇总2021年部门预算——名词解释</w:t>
      </w:r>
    </w:p>
    <w:p>
      <w:pPr>
        <w:widowControl/>
        <w:spacing w:line="560" w:lineRule="exact"/>
        <w:ind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widowControl/>
        <w:spacing w:line="560" w:lineRule="exact"/>
        <w:ind w:firstLine="48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二、“三公经费”，是指使用财政资金支付的因公出国（境）费、公务车购置及运行维护费以及公务接待费。</w:t>
      </w:r>
    </w:p>
    <w:p>
      <w:pPr>
        <w:widowControl/>
        <w:jc w:val="left"/>
        <w:outlineLvl w:val="1"/>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br w:type="page"/>
      </w:r>
    </w:p>
    <w:p>
      <w:pPr>
        <w:widowControl/>
        <w:jc w:val="center"/>
        <w:outlineLvl w:val="1"/>
        <w:rPr>
          <w:rFonts w:ascii="仿宋_GB2312" w:hAnsi="宋体" w:eastAsia="仿宋_GB2312"/>
          <w:b/>
          <w:bCs/>
          <w:color w:val="000000"/>
          <w:kern w:val="0"/>
          <w:sz w:val="36"/>
          <w:szCs w:val="36"/>
        </w:rPr>
      </w:pPr>
      <w:r>
        <w:rPr>
          <w:rFonts w:hint="eastAsia" w:ascii="仿宋_GB2312" w:hAnsi="宋体" w:eastAsia="仿宋_GB2312"/>
          <w:b/>
          <w:bCs/>
          <w:color w:val="000000"/>
          <w:kern w:val="0"/>
          <w:sz w:val="36"/>
          <w:szCs w:val="36"/>
        </w:rPr>
        <w:t>吴忠市生态环境局2021年部门预算——2021年部门项目支出预算绩效目标表</w:t>
      </w:r>
    </w:p>
    <w:tbl>
      <w:tblPr>
        <w:tblStyle w:val="8"/>
        <w:tblW w:w="0" w:type="auto"/>
        <w:tblInd w:w="0" w:type="dxa"/>
        <w:tblLayout w:type="fixed"/>
        <w:tblCellMar>
          <w:top w:w="15" w:type="dxa"/>
          <w:left w:w="15" w:type="dxa"/>
          <w:bottom w:w="15" w:type="dxa"/>
          <w:right w:w="15" w:type="dxa"/>
        </w:tblCellMar>
      </w:tblPr>
      <w:tblGrid>
        <w:gridCol w:w="1132"/>
        <w:gridCol w:w="2015"/>
        <w:gridCol w:w="2171"/>
        <w:gridCol w:w="1322"/>
        <w:gridCol w:w="1848"/>
      </w:tblGrid>
      <w:tr>
        <w:tblPrEx>
          <w:tblCellMar>
            <w:top w:w="15" w:type="dxa"/>
            <w:left w:w="15" w:type="dxa"/>
            <w:bottom w:w="15" w:type="dxa"/>
            <w:right w:w="15" w:type="dxa"/>
          </w:tblCellMar>
        </w:tblPrEx>
        <w:trPr>
          <w:trHeight w:val="285" w:hRule="atLeast"/>
        </w:trPr>
        <w:tc>
          <w:tcPr>
            <w:tcW w:w="8488" w:type="dxa"/>
            <w:gridSpan w:val="5"/>
            <w:vAlign w:val="center"/>
          </w:tcPr>
          <w:p>
            <w:pPr>
              <w:widowControl/>
              <w:jc w:val="left"/>
              <w:textAlignment w:val="center"/>
              <w:rPr>
                <w:rFonts w:ascii="黑体" w:hAnsi="宋体" w:eastAsia="黑体" w:cs="黑体"/>
                <w:color w:val="000000"/>
                <w:sz w:val="16"/>
                <w:szCs w:val="16"/>
              </w:rPr>
            </w:pPr>
            <w:r>
              <w:rPr>
                <w:rFonts w:hint="eastAsia" w:ascii="黑体" w:hAnsi="宋体" w:eastAsia="黑体" w:cs="黑体"/>
                <w:color w:val="000000"/>
                <w:kern w:val="0"/>
                <w:sz w:val="16"/>
                <w:szCs w:val="16"/>
              </w:rPr>
              <w:t>附件1</w:t>
            </w:r>
          </w:p>
        </w:tc>
      </w:tr>
      <w:tr>
        <w:tblPrEx>
          <w:tblCellMar>
            <w:top w:w="15" w:type="dxa"/>
            <w:left w:w="15" w:type="dxa"/>
            <w:bottom w:w="15" w:type="dxa"/>
            <w:right w:w="15" w:type="dxa"/>
          </w:tblCellMar>
        </w:tblPrEx>
        <w:trPr>
          <w:trHeight w:val="885" w:hRule="atLeast"/>
        </w:trPr>
        <w:tc>
          <w:tcPr>
            <w:tcW w:w="8488" w:type="dxa"/>
            <w:gridSpan w:val="5"/>
            <w:vAlign w:val="center"/>
          </w:tcPr>
          <w:p>
            <w:pPr>
              <w:widowControl/>
              <w:jc w:val="center"/>
              <w:textAlignment w:val="center"/>
              <w:rPr>
                <w:rFonts w:ascii="宋体" w:hAnsi="宋体" w:cs="宋体"/>
                <w:b/>
                <w:color w:val="000000"/>
                <w:sz w:val="40"/>
                <w:szCs w:val="40"/>
              </w:rPr>
            </w:pPr>
            <w:r>
              <w:rPr>
                <w:rFonts w:hint="eastAsia" w:ascii="宋体" w:hAnsi="宋体" w:cs="宋体"/>
                <w:b/>
                <w:color w:val="000000"/>
                <w:kern w:val="0"/>
                <w:sz w:val="28"/>
                <w:szCs w:val="28"/>
              </w:rPr>
              <w:t>2021年吴忠市本级部门项目支出预算绩效目标表</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项目名称</w:t>
            </w:r>
          </w:p>
        </w:tc>
        <w:tc>
          <w:tcPr>
            <w:tcW w:w="534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环境应急中心运行经费</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主管部门</w:t>
            </w: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吴忠市生态环境局</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实施单位</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吴忠市生态环境局本级</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项目属性</w:t>
            </w: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经常性项目</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项目期</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2021年-2021年</w:t>
            </w:r>
          </w:p>
        </w:tc>
      </w:tr>
      <w:tr>
        <w:tblPrEx>
          <w:tblCellMar>
            <w:top w:w="15" w:type="dxa"/>
            <w:left w:w="15" w:type="dxa"/>
            <w:bottom w:w="15" w:type="dxa"/>
            <w:right w:w="15" w:type="dxa"/>
          </w:tblCellMar>
        </w:tblPrEx>
        <w:trPr>
          <w:trHeight w:val="450" w:hRule="atLeast"/>
        </w:trPr>
        <w:tc>
          <w:tcPr>
            <w:tcW w:w="314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项目资金</w:t>
            </w:r>
            <w:r>
              <w:rPr>
                <w:rFonts w:hint="eastAsia" w:ascii="宋体" w:hAnsi="宋体" w:cs="宋体"/>
                <w:b/>
                <w:color w:val="000000"/>
                <w:kern w:val="0"/>
                <w:sz w:val="20"/>
              </w:rPr>
              <w:br w:type="textWrapping"/>
            </w:r>
            <w:r>
              <w:rPr>
                <w:rFonts w:hint="eastAsia" w:ascii="宋体" w:hAnsi="宋体" w:cs="宋体"/>
                <w:b/>
                <w:color w:val="000000"/>
                <w:kern w:val="0"/>
                <w:sz w:val="20"/>
              </w:rPr>
              <w:t>（万元）</w:t>
            </w: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年度资金总额</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30.000000</w:t>
            </w: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其中：财政拨款</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30.000000</w:t>
            </w: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xml:space="preserve">                     结余结转</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其他资金</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p>
        </w:tc>
      </w:tr>
      <w:tr>
        <w:tblPrEx>
          <w:tblCellMar>
            <w:top w:w="15" w:type="dxa"/>
            <w:left w:w="15" w:type="dxa"/>
            <w:bottom w:w="15" w:type="dxa"/>
            <w:right w:w="15" w:type="dxa"/>
          </w:tblCellMar>
        </w:tblPrEx>
        <w:trPr>
          <w:trHeight w:val="147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绩效目标</w:t>
            </w:r>
          </w:p>
        </w:tc>
        <w:tc>
          <w:tcPr>
            <w:tcW w:w="7356"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2021年环境应急中心运行经费用于环境应急中心日常运行所需水电、网络运行、中央空调维护改造（院落中央空调冷却塔在使用过程中不断因噪声扰民遭到群众投诉,迫切需要改造维修）、消防安全设备运维、电梯维修维护、应急中心大楼亮化维护、院落草木绿化养护、安保及公岗人员工资的支出，以期保障应急中心的正常运行.</w:t>
            </w:r>
          </w:p>
        </w:tc>
      </w:tr>
      <w:tr>
        <w:tblPrEx>
          <w:tblCellMar>
            <w:top w:w="15" w:type="dxa"/>
            <w:left w:w="15" w:type="dxa"/>
            <w:bottom w:w="15" w:type="dxa"/>
            <w:right w:w="15" w:type="dxa"/>
          </w:tblCellMar>
        </w:tblPrEx>
        <w:trPr>
          <w:trHeight w:val="45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r>
      <w:tr>
        <w:tblPrEx>
          <w:tblCellMar>
            <w:top w:w="15" w:type="dxa"/>
            <w:left w:w="15" w:type="dxa"/>
            <w:bottom w:w="15" w:type="dxa"/>
            <w:right w:w="15" w:type="dxa"/>
          </w:tblCellMar>
        </w:tblPrEx>
        <w:trPr>
          <w:trHeight w:val="450"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1、产出指标</w:t>
            </w:r>
          </w:p>
        </w:tc>
        <w:tc>
          <w:tcPr>
            <w:tcW w:w="20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数量指标（必填硬性指标）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水电、网络运行、中央空调维护改造，&lt;br&gt;消防安全设备运维、电梯维修维护、应急中心大楼亮化维护、院落草木绿化养护、安保及公岗人员工资的支出</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全面保障大楼运行</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1人</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10万</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公布全市环境空气质量指数、水环境质量、声环境质量、水源地等信息，开展“六五”环境日、国际生物多样日、低碳日等宣传活动，在中国环境报、宁夏日报、吴忠日报、吴忠电视台等媒体开展各类专栏专刊、“两微一端”宣传</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多方面全覆盖做好环境宣传</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保障应急中心的正常运行</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着力提高辖区公众满意程度</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提高公民生态环保理念</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经费保障</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按时足额发放</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2021年全年</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2021年全年</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2021年</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每月按时发放</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2021年</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持续提高</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p>
        </w:tc>
        <w:tc>
          <w:tcPr>
            <w:tcW w:w="20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成本指标（必填硬性指标）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全面保障大楼运行</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p>
        </w:tc>
        <w:tc>
          <w:tcPr>
            <w:tcW w:w="20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2021年保障马丽工资经费</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10万</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p>
        </w:tc>
        <w:tc>
          <w:tcPr>
            <w:tcW w:w="20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加大宣传力度，覆盖面，全力提高公众满意度</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宣传力度加大</w:t>
            </w:r>
          </w:p>
        </w:tc>
      </w:tr>
      <w:tr>
        <w:tblPrEx>
          <w:tblCellMar>
            <w:top w:w="15" w:type="dxa"/>
            <w:left w:w="15" w:type="dxa"/>
            <w:bottom w:w="15" w:type="dxa"/>
            <w:right w:w="15" w:type="dxa"/>
          </w:tblCellMar>
        </w:tblPrEx>
        <w:trPr>
          <w:trHeight w:val="450"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2、效益指标</w:t>
            </w:r>
          </w:p>
        </w:tc>
        <w:tc>
          <w:tcPr>
            <w:tcW w:w="20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社会效益指标（必填）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环境保护，利国利民</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95%</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p>
        </w:tc>
        <w:tc>
          <w:tcPr>
            <w:tcW w:w="20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保障应急中心的正常运行</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全力保障环保工作</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p>
        </w:tc>
        <w:tc>
          <w:tcPr>
            <w:tcW w:w="20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就业安置</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提高就业途径</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经济效益指标（选填）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保复转军人就业</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p>
        </w:tc>
        <w:tc>
          <w:tcPr>
            <w:tcW w:w="20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可持续影响指标（必填）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着力提高辖区公众满意程度</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95%</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p>
        </w:tc>
        <w:tc>
          <w:tcPr>
            <w:tcW w:w="20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环境保护工作人员经费</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100%</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p>
        </w:tc>
        <w:tc>
          <w:tcPr>
            <w:tcW w:w="20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支持环境保护工作正常开展。</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环境保护工作</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生态效益指标（选填）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p>
        </w:tc>
      </w:tr>
      <w:tr>
        <w:tblPrEx>
          <w:tblCellMar>
            <w:top w:w="15" w:type="dxa"/>
            <w:left w:w="15" w:type="dxa"/>
            <w:bottom w:w="15" w:type="dxa"/>
            <w:right w:w="15" w:type="dxa"/>
          </w:tblCellMar>
        </w:tblPrEx>
        <w:trPr>
          <w:trHeight w:val="450"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3、满意度指标</w:t>
            </w:r>
          </w:p>
        </w:tc>
        <w:tc>
          <w:tcPr>
            <w:tcW w:w="20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服务对象满意度指标（必填）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着力提高辖区公众满意程度</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95%</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p>
        </w:tc>
        <w:tc>
          <w:tcPr>
            <w:tcW w:w="20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保障应急中心的正常运行</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95%</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p>
        </w:tc>
        <w:tc>
          <w:tcPr>
            <w:tcW w:w="20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经费保障工资</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100%</w:t>
            </w:r>
          </w:p>
        </w:tc>
      </w:tr>
    </w:tbl>
    <w:p>
      <w:pPr>
        <w:widowControl/>
        <w:jc w:val="left"/>
        <w:outlineLvl w:val="1"/>
        <w:rPr>
          <w:rFonts w:ascii="仿宋_GB2312" w:hAnsi="宋体" w:eastAsia="仿宋_GB2312"/>
          <w:color w:val="000000"/>
          <w:kern w:val="0"/>
          <w:sz w:val="30"/>
          <w:szCs w:val="30"/>
        </w:rPr>
      </w:pPr>
      <w:r>
        <w:rPr>
          <w:rFonts w:hint="eastAsia" w:ascii="仿宋_GB2312" w:hAnsi="宋体" w:eastAsia="仿宋_GB2312"/>
          <w:color w:val="000000"/>
          <w:kern w:val="0"/>
          <w:sz w:val="30"/>
          <w:szCs w:val="30"/>
        </w:rPr>
        <w:br w:type="page"/>
      </w:r>
    </w:p>
    <w:tbl>
      <w:tblPr>
        <w:tblStyle w:val="8"/>
        <w:tblW w:w="0" w:type="auto"/>
        <w:tblInd w:w="0" w:type="dxa"/>
        <w:tblLayout w:type="fixed"/>
        <w:tblCellMar>
          <w:top w:w="15" w:type="dxa"/>
          <w:left w:w="15" w:type="dxa"/>
          <w:bottom w:w="15" w:type="dxa"/>
          <w:right w:w="15" w:type="dxa"/>
        </w:tblCellMar>
      </w:tblPr>
      <w:tblGrid>
        <w:gridCol w:w="1573"/>
        <w:gridCol w:w="1574"/>
        <w:gridCol w:w="1914"/>
        <w:gridCol w:w="957"/>
        <w:gridCol w:w="2470"/>
      </w:tblGrid>
      <w:tr>
        <w:tblPrEx>
          <w:tblCellMar>
            <w:top w:w="15" w:type="dxa"/>
            <w:left w:w="15" w:type="dxa"/>
            <w:bottom w:w="15" w:type="dxa"/>
            <w:right w:w="15" w:type="dxa"/>
          </w:tblCellMar>
        </w:tblPrEx>
        <w:trPr>
          <w:trHeight w:val="285" w:hRule="atLeast"/>
        </w:trPr>
        <w:tc>
          <w:tcPr>
            <w:tcW w:w="8488" w:type="dxa"/>
            <w:gridSpan w:val="5"/>
            <w:vAlign w:val="center"/>
          </w:tcPr>
          <w:p>
            <w:pPr>
              <w:widowControl/>
              <w:jc w:val="left"/>
              <w:textAlignment w:val="center"/>
              <w:rPr>
                <w:rFonts w:ascii="黑体" w:hAnsi="宋体" w:eastAsia="黑体" w:cs="黑体"/>
                <w:color w:val="000000"/>
                <w:sz w:val="16"/>
                <w:szCs w:val="16"/>
              </w:rPr>
            </w:pPr>
            <w:r>
              <w:rPr>
                <w:rFonts w:hint="eastAsia" w:ascii="黑体" w:hAnsi="宋体" w:eastAsia="黑体" w:cs="黑体"/>
                <w:color w:val="000000"/>
                <w:kern w:val="0"/>
                <w:sz w:val="16"/>
                <w:szCs w:val="16"/>
              </w:rPr>
              <w:t>附件2</w:t>
            </w:r>
          </w:p>
        </w:tc>
      </w:tr>
      <w:tr>
        <w:tblPrEx>
          <w:tblCellMar>
            <w:top w:w="15" w:type="dxa"/>
            <w:left w:w="15" w:type="dxa"/>
            <w:bottom w:w="15" w:type="dxa"/>
            <w:right w:w="15" w:type="dxa"/>
          </w:tblCellMar>
        </w:tblPrEx>
        <w:trPr>
          <w:trHeight w:val="885" w:hRule="atLeast"/>
        </w:trPr>
        <w:tc>
          <w:tcPr>
            <w:tcW w:w="8488" w:type="dxa"/>
            <w:gridSpan w:val="5"/>
            <w:vAlign w:val="center"/>
          </w:tcPr>
          <w:p>
            <w:pPr>
              <w:widowControl/>
              <w:jc w:val="center"/>
              <w:textAlignment w:val="center"/>
              <w:rPr>
                <w:rFonts w:ascii="宋体" w:hAnsi="宋体" w:cs="宋体"/>
                <w:b/>
                <w:color w:val="000000"/>
                <w:sz w:val="40"/>
                <w:szCs w:val="40"/>
              </w:rPr>
            </w:pPr>
            <w:r>
              <w:rPr>
                <w:rFonts w:hint="eastAsia" w:ascii="宋体" w:hAnsi="宋体" w:cs="宋体"/>
                <w:b/>
                <w:color w:val="000000"/>
                <w:kern w:val="0"/>
                <w:sz w:val="28"/>
                <w:szCs w:val="28"/>
              </w:rPr>
              <w:t>2021年吴忠市本级部门项目支出预算绩效目标表</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项目名称</w:t>
            </w:r>
          </w:p>
        </w:tc>
        <w:tc>
          <w:tcPr>
            <w:tcW w:w="534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提高污染防治攻坚战公众满意度宣传经费</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主管部门</w:t>
            </w:r>
          </w:p>
        </w:tc>
        <w:tc>
          <w:tcPr>
            <w:tcW w:w="1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吴忠市生态环境局</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实施单位</w:t>
            </w:r>
          </w:p>
        </w:tc>
        <w:tc>
          <w:tcPr>
            <w:tcW w:w="2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吴忠市生态环境局本级</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项目属性</w:t>
            </w:r>
          </w:p>
        </w:tc>
        <w:tc>
          <w:tcPr>
            <w:tcW w:w="1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经常性项目</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项目期</w:t>
            </w:r>
          </w:p>
        </w:tc>
        <w:tc>
          <w:tcPr>
            <w:tcW w:w="2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2021年-2021年</w:t>
            </w:r>
          </w:p>
        </w:tc>
      </w:tr>
      <w:tr>
        <w:tblPrEx>
          <w:tblCellMar>
            <w:top w:w="15" w:type="dxa"/>
            <w:left w:w="15" w:type="dxa"/>
            <w:bottom w:w="15" w:type="dxa"/>
            <w:right w:w="15" w:type="dxa"/>
          </w:tblCellMar>
        </w:tblPrEx>
        <w:trPr>
          <w:trHeight w:val="450" w:hRule="atLeast"/>
        </w:trPr>
        <w:tc>
          <w:tcPr>
            <w:tcW w:w="314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项目资金</w:t>
            </w:r>
            <w:r>
              <w:rPr>
                <w:rFonts w:hint="eastAsia" w:ascii="宋体" w:hAnsi="宋体" w:cs="宋体"/>
                <w:b/>
                <w:color w:val="000000"/>
                <w:kern w:val="0"/>
                <w:sz w:val="20"/>
              </w:rPr>
              <w:br w:type="textWrapping"/>
            </w:r>
            <w:r>
              <w:rPr>
                <w:rFonts w:hint="eastAsia" w:ascii="宋体" w:hAnsi="宋体" w:cs="宋体"/>
                <w:b/>
                <w:color w:val="000000"/>
                <w:kern w:val="0"/>
                <w:sz w:val="20"/>
              </w:rPr>
              <w:t>（万元）</w:t>
            </w:r>
          </w:p>
        </w:tc>
        <w:tc>
          <w:tcPr>
            <w:tcW w:w="19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年度资金总额</w:t>
            </w:r>
          </w:p>
        </w:tc>
        <w:tc>
          <w:tcPr>
            <w:tcW w:w="342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20.000000</w:t>
            </w: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1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其中：财政拨款</w:t>
            </w:r>
          </w:p>
        </w:tc>
        <w:tc>
          <w:tcPr>
            <w:tcW w:w="342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20.000000</w:t>
            </w: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1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xml:space="preserve">                     结余结转</w:t>
            </w:r>
          </w:p>
        </w:tc>
        <w:tc>
          <w:tcPr>
            <w:tcW w:w="342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191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其他资金</w:t>
            </w:r>
          </w:p>
        </w:tc>
        <w:tc>
          <w:tcPr>
            <w:tcW w:w="342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p>
        </w:tc>
      </w:tr>
      <w:tr>
        <w:tblPrEx>
          <w:tblCellMar>
            <w:top w:w="15" w:type="dxa"/>
            <w:left w:w="15" w:type="dxa"/>
            <w:bottom w:w="15" w:type="dxa"/>
            <w:right w:w="15" w:type="dxa"/>
          </w:tblCellMar>
        </w:tblPrEx>
        <w:trPr>
          <w:trHeight w:val="1470" w:hRule="atLeast"/>
        </w:trPr>
        <w:tc>
          <w:tcPr>
            <w:tcW w:w="15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绩效目标</w:t>
            </w:r>
          </w:p>
        </w:tc>
        <w:tc>
          <w:tcPr>
            <w:tcW w:w="6915"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根据自治区党委办公厅 人民政府办公厅《关于印发&lt;宁夏回族自治区污染防治攻坚战成效考核措施&gt;的通知》（宁党厅字〔2020〕17号），中央、自治区将生态环境保护资金投入使用情况、公众满意程度列为污染防治攻坚战成效重要考核内容，为提高公众满意程度，拟计划2021年打好污染防治攻坚战和生态文明建设宣传经费主要用于打好污染防治攻坚战和生态文明建设的日常宣传，包括公布全市环境空气质量指数、水环境质量、声环境质量、水源地等信息，开展“六五”环境日、国际生物多样日、低碳日等宣传活动，在中国环境报、宁夏日报、吴忠日报、吴忠电视台等媒体开展各类专栏专刊、“两微一端”宣传，着力提高辖区公众满意程度。</w:t>
            </w:r>
          </w:p>
        </w:tc>
      </w:tr>
      <w:tr>
        <w:tblPrEx>
          <w:tblCellMar>
            <w:top w:w="15" w:type="dxa"/>
            <w:left w:w="15" w:type="dxa"/>
            <w:bottom w:w="15" w:type="dxa"/>
            <w:right w:w="15" w:type="dxa"/>
          </w:tblCellMar>
        </w:tblPrEx>
        <w:trPr>
          <w:trHeight w:val="450" w:hRule="atLeast"/>
        </w:trPr>
        <w:tc>
          <w:tcPr>
            <w:tcW w:w="15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2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r>
      <w:tr>
        <w:tblPrEx>
          <w:tblCellMar>
            <w:top w:w="15" w:type="dxa"/>
            <w:left w:w="15" w:type="dxa"/>
            <w:bottom w:w="15" w:type="dxa"/>
            <w:right w:w="15" w:type="dxa"/>
          </w:tblCellMar>
        </w:tblPrEx>
        <w:trPr>
          <w:trHeight w:val="450" w:hRule="atLeast"/>
        </w:trPr>
        <w:tc>
          <w:tcPr>
            <w:tcW w:w="15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1、产出指标</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数量指标（必填硬性指标）</w:t>
            </w:r>
          </w:p>
        </w:tc>
        <w:tc>
          <w:tcPr>
            <w:tcW w:w="2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公布全市环境空气质量指数、水环境质量、声环境质量、水源地等信息，开展“六五”环境日、国际生物多样日、低碳日等宣传活动，在中国环境报、宁夏日报、吴忠日报、吴忠电视台等媒体开展各类专栏专刊、“两微一端”宣传</w:t>
            </w:r>
          </w:p>
        </w:tc>
        <w:tc>
          <w:tcPr>
            <w:tcW w:w="2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多方面全覆盖做好环境宣传</w:t>
            </w:r>
          </w:p>
        </w:tc>
      </w:tr>
      <w:tr>
        <w:tblPrEx>
          <w:tblCellMar>
            <w:top w:w="15" w:type="dxa"/>
            <w:left w:w="15" w:type="dxa"/>
            <w:bottom w:w="15" w:type="dxa"/>
            <w:right w:w="15" w:type="dxa"/>
          </w:tblCellMar>
        </w:tblPrEx>
        <w:trPr>
          <w:trHeight w:val="450" w:hRule="atLeast"/>
        </w:trPr>
        <w:tc>
          <w:tcPr>
            <w:tcW w:w="1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质量指标（必填）</w:t>
            </w:r>
          </w:p>
        </w:tc>
        <w:tc>
          <w:tcPr>
            <w:tcW w:w="2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着力提高辖区公众满意程度</w:t>
            </w:r>
          </w:p>
        </w:tc>
        <w:tc>
          <w:tcPr>
            <w:tcW w:w="2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提高公民生态环保理念</w:t>
            </w:r>
          </w:p>
        </w:tc>
      </w:tr>
      <w:tr>
        <w:tblPrEx>
          <w:tblCellMar>
            <w:top w:w="15" w:type="dxa"/>
            <w:left w:w="15" w:type="dxa"/>
            <w:bottom w:w="15" w:type="dxa"/>
            <w:right w:w="15" w:type="dxa"/>
          </w:tblCellMar>
        </w:tblPrEx>
        <w:trPr>
          <w:trHeight w:val="450" w:hRule="atLeast"/>
        </w:trPr>
        <w:tc>
          <w:tcPr>
            <w:tcW w:w="1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时效指标（必填）</w:t>
            </w:r>
          </w:p>
        </w:tc>
        <w:tc>
          <w:tcPr>
            <w:tcW w:w="2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2021年</w:t>
            </w:r>
          </w:p>
        </w:tc>
        <w:tc>
          <w:tcPr>
            <w:tcW w:w="2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持续提高</w:t>
            </w:r>
          </w:p>
        </w:tc>
      </w:tr>
      <w:tr>
        <w:tblPrEx>
          <w:tblCellMar>
            <w:top w:w="15" w:type="dxa"/>
            <w:left w:w="15" w:type="dxa"/>
            <w:bottom w:w="15" w:type="dxa"/>
            <w:right w:w="15" w:type="dxa"/>
          </w:tblCellMar>
        </w:tblPrEx>
        <w:trPr>
          <w:trHeight w:val="450" w:hRule="atLeast"/>
        </w:trPr>
        <w:tc>
          <w:tcPr>
            <w:tcW w:w="1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成本指标（必填硬性指标）</w:t>
            </w:r>
          </w:p>
        </w:tc>
        <w:tc>
          <w:tcPr>
            <w:tcW w:w="2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加大宣传力度，覆盖面，全力提高公众满意度</w:t>
            </w:r>
          </w:p>
        </w:tc>
        <w:tc>
          <w:tcPr>
            <w:tcW w:w="2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宣传力度加大</w:t>
            </w:r>
          </w:p>
        </w:tc>
      </w:tr>
      <w:tr>
        <w:tblPrEx>
          <w:tblCellMar>
            <w:top w:w="15" w:type="dxa"/>
            <w:left w:w="15" w:type="dxa"/>
            <w:bottom w:w="15" w:type="dxa"/>
            <w:right w:w="15" w:type="dxa"/>
          </w:tblCellMar>
        </w:tblPrEx>
        <w:trPr>
          <w:trHeight w:val="450" w:hRule="atLeast"/>
        </w:trPr>
        <w:tc>
          <w:tcPr>
            <w:tcW w:w="15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2、效益指标</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社会效益指标（必填）</w:t>
            </w:r>
          </w:p>
        </w:tc>
        <w:tc>
          <w:tcPr>
            <w:tcW w:w="2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环境保护，利国利民</w:t>
            </w:r>
          </w:p>
        </w:tc>
        <w:tc>
          <w:tcPr>
            <w:tcW w:w="2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95%</w:t>
            </w:r>
          </w:p>
        </w:tc>
      </w:tr>
      <w:tr>
        <w:tblPrEx>
          <w:tblCellMar>
            <w:top w:w="15" w:type="dxa"/>
            <w:left w:w="15" w:type="dxa"/>
            <w:bottom w:w="15" w:type="dxa"/>
            <w:right w:w="15" w:type="dxa"/>
          </w:tblCellMar>
        </w:tblPrEx>
        <w:trPr>
          <w:trHeight w:val="450" w:hRule="atLeast"/>
        </w:trPr>
        <w:tc>
          <w:tcPr>
            <w:tcW w:w="1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经济效益指标（选填）</w:t>
            </w:r>
          </w:p>
        </w:tc>
        <w:tc>
          <w:tcPr>
            <w:tcW w:w="2871"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p>
        </w:tc>
        <w:tc>
          <w:tcPr>
            <w:tcW w:w="24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p>
        </w:tc>
      </w:tr>
      <w:tr>
        <w:tblPrEx>
          <w:tblCellMar>
            <w:top w:w="15" w:type="dxa"/>
            <w:left w:w="15" w:type="dxa"/>
            <w:bottom w:w="15" w:type="dxa"/>
            <w:right w:w="15" w:type="dxa"/>
          </w:tblCellMar>
        </w:tblPrEx>
        <w:trPr>
          <w:trHeight w:val="450" w:hRule="atLeast"/>
        </w:trPr>
        <w:tc>
          <w:tcPr>
            <w:tcW w:w="1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可持续影响指标（必填）</w:t>
            </w:r>
          </w:p>
        </w:tc>
        <w:tc>
          <w:tcPr>
            <w:tcW w:w="2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着力提高辖区公众满意程度</w:t>
            </w:r>
          </w:p>
        </w:tc>
        <w:tc>
          <w:tcPr>
            <w:tcW w:w="2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95%</w:t>
            </w:r>
          </w:p>
        </w:tc>
      </w:tr>
      <w:tr>
        <w:tblPrEx>
          <w:tblCellMar>
            <w:top w:w="15" w:type="dxa"/>
            <w:left w:w="15" w:type="dxa"/>
            <w:bottom w:w="15" w:type="dxa"/>
            <w:right w:w="15" w:type="dxa"/>
          </w:tblCellMar>
        </w:tblPrEx>
        <w:trPr>
          <w:trHeight w:val="450" w:hRule="atLeast"/>
        </w:trPr>
        <w:tc>
          <w:tcPr>
            <w:tcW w:w="15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生态效益指标（选填）</w:t>
            </w:r>
          </w:p>
        </w:tc>
        <w:tc>
          <w:tcPr>
            <w:tcW w:w="2871"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p>
        </w:tc>
        <w:tc>
          <w:tcPr>
            <w:tcW w:w="24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p>
        </w:tc>
      </w:tr>
      <w:tr>
        <w:tblPrEx>
          <w:tblCellMar>
            <w:top w:w="15" w:type="dxa"/>
            <w:left w:w="15" w:type="dxa"/>
            <w:bottom w:w="15" w:type="dxa"/>
            <w:right w:w="15" w:type="dxa"/>
          </w:tblCellMar>
        </w:tblPrEx>
        <w:trPr>
          <w:trHeight w:val="450" w:hRule="atLeast"/>
        </w:trPr>
        <w:tc>
          <w:tcPr>
            <w:tcW w:w="15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3、满意度指标</w:t>
            </w:r>
          </w:p>
        </w:tc>
        <w:tc>
          <w:tcPr>
            <w:tcW w:w="15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服务对象满意度指标（必填）</w:t>
            </w:r>
          </w:p>
        </w:tc>
        <w:tc>
          <w:tcPr>
            <w:tcW w:w="2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着力提高辖区公众满意程度</w:t>
            </w:r>
          </w:p>
        </w:tc>
        <w:tc>
          <w:tcPr>
            <w:tcW w:w="24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95%</w:t>
            </w:r>
          </w:p>
        </w:tc>
      </w:tr>
    </w:tbl>
    <w:p>
      <w:pPr>
        <w:widowControl/>
        <w:jc w:val="left"/>
        <w:outlineLvl w:val="1"/>
        <w:rPr>
          <w:rFonts w:ascii="仿宋_GB2312" w:hAnsi="宋体" w:eastAsia="仿宋_GB2312"/>
          <w:color w:val="000000"/>
          <w:kern w:val="0"/>
          <w:sz w:val="30"/>
          <w:szCs w:val="30"/>
        </w:rPr>
      </w:pPr>
    </w:p>
    <w:p>
      <w:pPr>
        <w:widowControl/>
        <w:jc w:val="left"/>
        <w:outlineLvl w:val="1"/>
        <w:rPr>
          <w:rFonts w:ascii="仿宋_GB2312" w:hAnsi="宋体" w:eastAsia="仿宋_GB2312"/>
          <w:color w:val="000000"/>
          <w:kern w:val="0"/>
          <w:sz w:val="30"/>
          <w:szCs w:val="30"/>
        </w:rPr>
      </w:pPr>
    </w:p>
    <w:p>
      <w:pPr>
        <w:widowControl/>
        <w:jc w:val="left"/>
        <w:outlineLvl w:val="1"/>
        <w:rPr>
          <w:rFonts w:ascii="仿宋_GB2312" w:hAnsi="宋体" w:eastAsia="仿宋_GB2312"/>
          <w:color w:val="000000"/>
          <w:kern w:val="0"/>
          <w:sz w:val="30"/>
          <w:szCs w:val="30"/>
        </w:rPr>
      </w:pPr>
    </w:p>
    <w:p>
      <w:pPr>
        <w:widowControl/>
        <w:jc w:val="left"/>
        <w:outlineLvl w:val="1"/>
        <w:rPr>
          <w:rFonts w:ascii="仿宋_GB2312" w:hAnsi="宋体" w:eastAsia="仿宋_GB2312"/>
          <w:color w:val="000000"/>
          <w:kern w:val="0"/>
          <w:sz w:val="30"/>
          <w:szCs w:val="30"/>
        </w:rPr>
      </w:pPr>
    </w:p>
    <w:p>
      <w:pPr>
        <w:widowControl/>
        <w:jc w:val="left"/>
        <w:outlineLvl w:val="1"/>
        <w:rPr>
          <w:rFonts w:ascii="仿宋_GB2312" w:hAnsi="宋体" w:eastAsia="仿宋_GB2312"/>
          <w:color w:val="000000"/>
          <w:kern w:val="0"/>
          <w:sz w:val="30"/>
          <w:szCs w:val="30"/>
        </w:rPr>
      </w:pPr>
    </w:p>
    <w:p>
      <w:pPr>
        <w:widowControl/>
        <w:jc w:val="left"/>
        <w:outlineLvl w:val="1"/>
        <w:rPr>
          <w:rFonts w:ascii="仿宋_GB2312" w:hAnsi="宋体" w:eastAsia="仿宋_GB2312"/>
          <w:color w:val="000000"/>
          <w:kern w:val="0"/>
          <w:sz w:val="30"/>
          <w:szCs w:val="30"/>
        </w:rPr>
      </w:pPr>
    </w:p>
    <w:p>
      <w:pPr>
        <w:widowControl/>
        <w:jc w:val="left"/>
        <w:outlineLvl w:val="1"/>
        <w:rPr>
          <w:rFonts w:ascii="仿宋_GB2312" w:hAnsi="宋体" w:eastAsia="仿宋_GB2312"/>
          <w:color w:val="000000"/>
          <w:kern w:val="0"/>
          <w:sz w:val="30"/>
          <w:szCs w:val="30"/>
        </w:rPr>
      </w:pPr>
    </w:p>
    <w:p>
      <w:pPr>
        <w:widowControl/>
        <w:jc w:val="left"/>
        <w:outlineLvl w:val="1"/>
        <w:rPr>
          <w:rFonts w:ascii="仿宋_GB2312" w:hAnsi="宋体" w:eastAsia="仿宋_GB2312"/>
          <w:color w:val="000000"/>
          <w:kern w:val="0"/>
          <w:sz w:val="30"/>
          <w:szCs w:val="30"/>
        </w:rPr>
      </w:pPr>
    </w:p>
    <w:p>
      <w:pPr>
        <w:widowControl/>
        <w:jc w:val="left"/>
        <w:outlineLvl w:val="1"/>
        <w:rPr>
          <w:rFonts w:ascii="仿宋_GB2312" w:hAnsi="宋体" w:eastAsia="仿宋_GB2312"/>
          <w:color w:val="000000"/>
          <w:kern w:val="0"/>
          <w:sz w:val="30"/>
          <w:szCs w:val="30"/>
        </w:rPr>
      </w:pPr>
    </w:p>
    <w:p>
      <w:pPr>
        <w:widowControl/>
        <w:jc w:val="left"/>
        <w:outlineLvl w:val="1"/>
        <w:rPr>
          <w:rFonts w:ascii="仿宋_GB2312" w:hAnsi="宋体" w:eastAsia="仿宋_GB2312"/>
          <w:color w:val="000000"/>
          <w:kern w:val="0"/>
          <w:sz w:val="30"/>
          <w:szCs w:val="30"/>
        </w:rPr>
      </w:pPr>
    </w:p>
    <w:p>
      <w:pPr>
        <w:widowControl/>
        <w:jc w:val="left"/>
        <w:outlineLvl w:val="1"/>
        <w:rPr>
          <w:rFonts w:ascii="仿宋_GB2312" w:hAnsi="宋体" w:eastAsia="仿宋_GB2312"/>
          <w:color w:val="000000"/>
          <w:kern w:val="0"/>
          <w:sz w:val="30"/>
          <w:szCs w:val="30"/>
        </w:rPr>
      </w:pPr>
    </w:p>
    <w:p>
      <w:pPr>
        <w:widowControl/>
        <w:jc w:val="left"/>
        <w:outlineLvl w:val="1"/>
        <w:rPr>
          <w:rFonts w:ascii="仿宋_GB2312" w:hAnsi="宋体" w:eastAsia="仿宋_GB2312"/>
          <w:color w:val="000000"/>
          <w:kern w:val="0"/>
          <w:sz w:val="30"/>
          <w:szCs w:val="30"/>
        </w:rPr>
      </w:pPr>
    </w:p>
    <w:p>
      <w:pPr>
        <w:widowControl/>
        <w:jc w:val="left"/>
        <w:outlineLvl w:val="1"/>
        <w:rPr>
          <w:rFonts w:ascii="仿宋_GB2312" w:hAnsi="宋体" w:eastAsia="仿宋_GB2312"/>
          <w:color w:val="000000"/>
          <w:kern w:val="0"/>
          <w:sz w:val="30"/>
          <w:szCs w:val="30"/>
        </w:rPr>
      </w:pPr>
    </w:p>
    <w:p>
      <w:pPr>
        <w:widowControl/>
        <w:jc w:val="left"/>
        <w:outlineLvl w:val="1"/>
        <w:rPr>
          <w:rFonts w:ascii="仿宋_GB2312" w:hAnsi="宋体" w:eastAsia="仿宋_GB2312"/>
          <w:color w:val="000000"/>
          <w:kern w:val="0"/>
          <w:sz w:val="30"/>
          <w:szCs w:val="30"/>
        </w:rPr>
      </w:pPr>
    </w:p>
    <w:p>
      <w:pPr>
        <w:widowControl/>
        <w:jc w:val="left"/>
        <w:outlineLvl w:val="1"/>
        <w:rPr>
          <w:rFonts w:ascii="仿宋_GB2312" w:hAnsi="宋体" w:eastAsia="仿宋_GB2312"/>
          <w:color w:val="000000"/>
          <w:kern w:val="0"/>
          <w:sz w:val="30"/>
          <w:szCs w:val="30"/>
        </w:rPr>
      </w:pPr>
    </w:p>
    <w:p>
      <w:pPr>
        <w:widowControl/>
        <w:jc w:val="left"/>
        <w:outlineLvl w:val="1"/>
        <w:rPr>
          <w:rFonts w:ascii="仿宋_GB2312" w:hAnsi="宋体" w:eastAsia="仿宋_GB2312"/>
          <w:color w:val="000000"/>
          <w:kern w:val="0"/>
          <w:sz w:val="30"/>
          <w:szCs w:val="30"/>
        </w:rPr>
      </w:pPr>
    </w:p>
    <w:p>
      <w:pPr>
        <w:widowControl/>
        <w:jc w:val="left"/>
        <w:outlineLvl w:val="1"/>
        <w:rPr>
          <w:rFonts w:ascii="仿宋_GB2312" w:hAnsi="宋体" w:eastAsia="仿宋_GB2312"/>
          <w:color w:val="000000"/>
          <w:kern w:val="0"/>
          <w:sz w:val="30"/>
          <w:szCs w:val="30"/>
        </w:rPr>
      </w:pPr>
    </w:p>
    <w:p>
      <w:pPr>
        <w:widowControl/>
        <w:ind w:left="1446" w:hanging="1446" w:hangingChars="400"/>
        <w:jc w:val="left"/>
        <w:outlineLvl w:val="1"/>
        <w:rPr>
          <w:rFonts w:ascii="仿宋_GB2312" w:hAnsi="宋体" w:eastAsia="仿宋_GB2312"/>
          <w:b/>
          <w:bCs/>
          <w:color w:val="000000"/>
          <w:kern w:val="0"/>
          <w:sz w:val="36"/>
          <w:szCs w:val="36"/>
        </w:rPr>
      </w:pPr>
      <w:r>
        <w:rPr>
          <w:rFonts w:hint="eastAsia" w:ascii="仿宋" w:hAnsi="仿宋" w:eastAsia="仿宋" w:cs="宋体"/>
          <w:b/>
          <w:bCs/>
          <w:kern w:val="0"/>
          <w:sz w:val="36"/>
          <w:szCs w:val="36"/>
        </w:rPr>
        <w:t>吴忠市生态环境监测站</w:t>
      </w:r>
      <w:r>
        <w:rPr>
          <w:rFonts w:hint="eastAsia" w:ascii="仿宋_GB2312" w:hAnsi="宋体" w:eastAsia="仿宋_GB2312"/>
          <w:b/>
          <w:bCs/>
          <w:color w:val="000000"/>
          <w:kern w:val="0"/>
          <w:sz w:val="36"/>
          <w:szCs w:val="36"/>
        </w:rPr>
        <w:t>2021年部门预算——2021年部门项目支出预算绩效目标表</w:t>
      </w:r>
    </w:p>
    <w:tbl>
      <w:tblPr>
        <w:tblStyle w:val="8"/>
        <w:tblW w:w="0" w:type="auto"/>
        <w:tblInd w:w="0" w:type="dxa"/>
        <w:tblLayout w:type="fixed"/>
        <w:tblCellMar>
          <w:top w:w="15" w:type="dxa"/>
          <w:left w:w="15" w:type="dxa"/>
          <w:bottom w:w="15" w:type="dxa"/>
          <w:right w:w="15" w:type="dxa"/>
        </w:tblCellMar>
      </w:tblPr>
      <w:tblGrid>
        <w:gridCol w:w="1132"/>
        <w:gridCol w:w="2015"/>
        <w:gridCol w:w="2171"/>
        <w:gridCol w:w="1322"/>
        <w:gridCol w:w="1848"/>
      </w:tblGrid>
      <w:tr>
        <w:tblPrEx>
          <w:tblCellMar>
            <w:top w:w="15" w:type="dxa"/>
            <w:left w:w="15" w:type="dxa"/>
            <w:bottom w:w="15" w:type="dxa"/>
            <w:right w:w="15" w:type="dxa"/>
          </w:tblCellMar>
        </w:tblPrEx>
        <w:trPr>
          <w:trHeight w:val="285" w:hRule="atLeast"/>
        </w:trPr>
        <w:tc>
          <w:tcPr>
            <w:tcW w:w="8488" w:type="dxa"/>
            <w:gridSpan w:val="5"/>
            <w:vAlign w:val="center"/>
          </w:tcPr>
          <w:p>
            <w:pPr>
              <w:widowControl/>
              <w:jc w:val="left"/>
              <w:textAlignment w:val="center"/>
              <w:rPr>
                <w:rFonts w:ascii="黑体" w:hAnsi="宋体" w:eastAsia="黑体" w:cs="黑体"/>
                <w:color w:val="000000"/>
                <w:sz w:val="16"/>
                <w:szCs w:val="16"/>
              </w:rPr>
            </w:pPr>
            <w:r>
              <w:rPr>
                <w:rFonts w:hint="eastAsia" w:ascii="黑体" w:hAnsi="宋体" w:eastAsia="黑体" w:cs="黑体"/>
                <w:color w:val="000000"/>
                <w:kern w:val="0"/>
                <w:sz w:val="16"/>
                <w:szCs w:val="16"/>
              </w:rPr>
              <w:t>附件</w:t>
            </w:r>
          </w:p>
        </w:tc>
      </w:tr>
      <w:tr>
        <w:tblPrEx>
          <w:tblCellMar>
            <w:top w:w="15" w:type="dxa"/>
            <w:left w:w="15" w:type="dxa"/>
            <w:bottom w:w="15" w:type="dxa"/>
            <w:right w:w="15" w:type="dxa"/>
          </w:tblCellMar>
        </w:tblPrEx>
        <w:trPr>
          <w:trHeight w:val="885" w:hRule="atLeast"/>
        </w:trPr>
        <w:tc>
          <w:tcPr>
            <w:tcW w:w="8488" w:type="dxa"/>
            <w:gridSpan w:val="5"/>
            <w:vAlign w:val="center"/>
          </w:tcPr>
          <w:p>
            <w:pPr>
              <w:widowControl/>
              <w:jc w:val="center"/>
              <w:textAlignment w:val="center"/>
              <w:rPr>
                <w:rFonts w:ascii="宋体" w:hAnsi="宋体" w:cs="宋体"/>
                <w:b/>
                <w:color w:val="000000"/>
                <w:sz w:val="40"/>
                <w:szCs w:val="40"/>
              </w:rPr>
            </w:pPr>
            <w:r>
              <w:rPr>
                <w:rFonts w:hint="eastAsia" w:ascii="宋体" w:hAnsi="宋体" w:cs="宋体"/>
                <w:b/>
                <w:color w:val="000000"/>
                <w:kern w:val="0"/>
                <w:sz w:val="28"/>
                <w:szCs w:val="28"/>
              </w:rPr>
              <w:t>2021年吴忠市本级部门项目支出预算绩效目标表</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项目名称</w:t>
            </w:r>
          </w:p>
        </w:tc>
        <w:tc>
          <w:tcPr>
            <w:tcW w:w="5341"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0"/>
              </w:rPr>
            </w:pPr>
            <w:r>
              <w:rPr>
                <w:rFonts w:hint="eastAsia" w:ascii="宋体" w:hAnsi="宋体" w:cs="宋体"/>
                <w:color w:val="000000"/>
                <w:sz w:val="20"/>
              </w:rPr>
              <w:t>地表水监督性监测经费</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主管部门</w:t>
            </w:r>
          </w:p>
        </w:tc>
        <w:tc>
          <w:tcPr>
            <w:tcW w:w="21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吴忠市生态环境局</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实施单位</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吴忠市生态环境监测站</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项目属性</w:t>
            </w:r>
          </w:p>
        </w:tc>
        <w:tc>
          <w:tcPr>
            <w:tcW w:w="21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一年期项目</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项目期</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2021年-2021年</w:t>
            </w:r>
          </w:p>
        </w:tc>
      </w:tr>
      <w:tr>
        <w:tblPrEx>
          <w:tblCellMar>
            <w:top w:w="15" w:type="dxa"/>
            <w:left w:w="15" w:type="dxa"/>
            <w:bottom w:w="15" w:type="dxa"/>
            <w:right w:w="15" w:type="dxa"/>
          </w:tblCellMar>
        </w:tblPrEx>
        <w:trPr>
          <w:trHeight w:val="450" w:hRule="atLeast"/>
        </w:trPr>
        <w:tc>
          <w:tcPr>
            <w:tcW w:w="314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项目资金</w:t>
            </w:r>
            <w:r>
              <w:rPr>
                <w:rFonts w:hint="eastAsia" w:ascii="宋体" w:hAnsi="宋体" w:cs="宋体"/>
                <w:b/>
                <w:color w:val="000000"/>
                <w:kern w:val="0"/>
                <w:sz w:val="20"/>
              </w:rPr>
              <w:br w:type="textWrapping"/>
            </w:r>
            <w:r>
              <w:rPr>
                <w:rFonts w:hint="eastAsia" w:ascii="宋体" w:hAnsi="宋体" w:cs="宋体"/>
                <w:b/>
                <w:color w:val="000000"/>
                <w:kern w:val="0"/>
                <w:sz w:val="20"/>
              </w:rPr>
              <w:t>（万元）</w:t>
            </w: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年度资金总额</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ascii="宋体" w:hAnsi="宋体" w:cs="宋体"/>
                <w:color w:val="000000"/>
                <w:sz w:val="20"/>
              </w:rPr>
              <w:t>10</w:t>
            </w: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其中：财政拨款</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ascii="宋体" w:hAnsi="宋体" w:cs="宋体"/>
                <w:color w:val="000000"/>
                <w:sz w:val="20"/>
              </w:rPr>
              <w:t>10</w:t>
            </w: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xml:space="preserve">                   结余结转</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其他资金</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p>
        </w:tc>
      </w:tr>
      <w:tr>
        <w:tblPrEx>
          <w:tblCellMar>
            <w:top w:w="15" w:type="dxa"/>
            <w:left w:w="15" w:type="dxa"/>
            <w:bottom w:w="15" w:type="dxa"/>
            <w:right w:w="15" w:type="dxa"/>
          </w:tblCellMar>
        </w:tblPrEx>
        <w:trPr>
          <w:trHeight w:val="147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绩效目标</w:t>
            </w:r>
          </w:p>
        </w:tc>
        <w:tc>
          <w:tcPr>
            <w:tcW w:w="735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rPr>
            </w:pPr>
            <w:r>
              <w:rPr>
                <w:rFonts w:hint="eastAsia" w:ascii="宋体" w:hAnsi="宋体" w:cs="宋体"/>
                <w:color w:val="000000"/>
                <w:sz w:val="20"/>
              </w:rPr>
              <w:t>保障国控2个断面、区控8个断面正常监测</w:t>
            </w:r>
          </w:p>
        </w:tc>
      </w:tr>
      <w:tr>
        <w:tblPrEx>
          <w:tblCellMar>
            <w:top w:w="15" w:type="dxa"/>
            <w:left w:w="15" w:type="dxa"/>
            <w:bottom w:w="15" w:type="dxa"/>
            <w:right w:w="15" w:type="dxa"/>
          </w:tblCellMar>
        </w:tblPrEx>
        <w:trPr>
          <w:trHeight w:val="45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r>
      <w:tr>
        <w:tblPrEx>
          <w:tblCellMar>
            <w:top w:w="15" w:type="dxa"/>
            <w:left w:w="15" w:type="dxa"/>
            <w:bottom w:w="15" w:type="dxa"/>
            <w:right w:w="15" w:type="dxa"/>
          </w:tblCellMar>
        </w:tblPrEx>
        <w:trPr>
          <w:trHeight w:val="450"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1、产出指标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数量指标（必填硬性指标）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国控2个断面、区控8个断面</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共10个断面</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61项监测项目符合地表水监测技术规范</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数据准确</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每月15日前上报监测数据</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按月监测</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成本指标（必填硬性指标）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为环境执法提供数据支持</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10万</w:t>
            </w:r>
          </w:p>
        </w:tc>
      </w:tr>
      <w:tr>
        <w:tblPrEx>
          <w:tblCellMar>
            <w:top w:w="15" w:type="dxa"/>
            <w:left w:w="15" w:type="dxa"/>
            <w:bottom w:w="15" w:type="dxa"/>
            <w:right w:w="15" w:type="dxa"/>
          </w:tblCellMar>
        </w:tblPrEx>
        <w:trPr>
          <w:trHeight w:val="450"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2、效益指标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为环境执法提供数据支持</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监测数据及时准确</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经济效益指标（选填）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为环境持续改善提供重要依据</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持续改善</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生态效益指标（选填）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r>
      <w:tr>
        <w:tblPrEx>
          <w:tblCellMar>
            <w:top w:w="15" w:type="dxa"/>
            <w:left w:w="15" w:type="dxa"/>
            <w:bottom w:w="15" w:type="dxa"/>
            <w:right w:w="15" w:type="dxa"/>
          </w:tblCellMar>
        </w:tblPrEx>
        <w:trPr>
          <w:trHeight w:val="45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3、满意度指标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社会公众满意度达到95%</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100%</w:t>
            </w:r>
          </w:p>
        </w:tc>
      </w:tr>
    </w:tbl>
    <w:p>
      <w:pPr>
        <w:widowControl/>
        <w:jc w:val="left"/>
        <w:outlineLvl w:val="1"/>
        <w:rPr>
          <w:rFonts w:ascii="仿宋_GB2312" w:hAnsi="宋体" w:eastAsia="仿宋_GB2312"/>
          <w:color w:val="000000"/>
          <w:kern w:val="0"/>
          <w:sz w:val="30"/>
          <w:szCs w:val="30"/>
        </w:rPr>
      </w:pPr>
    </w:p>
    <w:tbl>
      <w:tblPr>
        <w:tblStyle w:val="8"/>
        <w:tblW w:w="0" w:type="auto"/>
        <w:tblInd w:w="0" w:type="dxa"/>
        <w:tblLayout w:type="fixed"/>
        <w:tblCellMar>
          <w:top w:w="15" w:type="dxa"/>
          <w:left w:w="15" w:type="dxa"/>
          <w:bottom w:w="15" w:type="dxa"/>
          <w:right w:w="15" w:type="dxa"/>
        </w:tblCellMar>
      </w:tblPr>
      <w:tblGrid>
        <w:gridCol w:w="1132"/>
        <w:gridCol w:w="2015"/>
        <w:gridCol w:w="2171"/>
        <w:gridCol w:w="1322"/>
        <w:gridCol w:w="1848"/>
      </w:tblGrid>
      <w:tr>
        <w:tblPrEx>
          <w:tblCellMar>
            <w:top w:w="15" w:type="dxa"/>
            <w:left w:w="15" w:type="dxa"/>
            <w:bottom w:w="15" w:type="dxa"/>
            <w:right w:w="15" w:type="dxa"/>
          </w:tblCellMar>
        </w:tblPrEx>
        <w:trPr>
          <w:trHeight w:val="885" w:hRule="atLeast"/>
        </w:trPr>
        <w:tc>
          <w:tcPr>
            <w:tcW w:w="8488" w:type="dxa"/>
            <w:gridSpan w:val="5"/>
            <w:vAlign w:val="center"/>
          </w:tcPr>
          <w:p>
            <w:pPr>
              <w:widowControl/>
              <w:jc w:val="center"/>
              <w:textAlignment w:val="center"/>
              <w:rPr>
                <w:rFonts w:ascii="宋体" w:hAnsi="宋体" w:cs="宋体"/>
                <w:b/>
                <w:color w:val="000000"/>
                <w:sz w:val="40"/>
                <w:szCs w:val="40"/>
              </w:rPr>
            </w:pPr>
            <w:r>
              <w:rPr>
                <w:rFonts w:hint="eastAsia" w:ascii="宋体" w:hAnsi="宋体" w:cs="宋体"/>
                <w:b/>
                <w:color w:val="000000"/>
                <w:kern w:val="0"/>
                <w:sz w:val="28"/>
                <w:szCs w:val="28"/>
              </w:rPr>
              <w:t>2021年吴忠市本级部门项目支出预算绩效目标表</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项目名称</w:t>
            </w:r>
          </w:p>
        </w:tc>
        <w:tc>
          <w:tcPr>
            <w:tcW w:w="5341"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0"/>
              </w:rPr>
            </w:pPr>
            <w:r>
              <w:rPr>
                <w:rFonts w:hint="eastAsia" w:ascii="宋体" w:hAnsi="宋体" w:cs="宋体"/>
                <w:color w:val="000000"/>
                <w:sz w:val="20"/>
              </w:rPr>
              <w:t>非甲烷总烃监测经费</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主管部门</w:t>
            </w:r>
          </w:p>
        </w:tc>
        <w:tc>
          <w:tcPr>
            <w:tcW w:w="21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吴忠市生态环境局</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实施单位</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吴忠市生态环境监测站</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项目属性</w:t>
            </w:r>
          </w:p>
        </w:tc>
        <w:tc>
          <w:tcPr>
            <w:tcW w:w="21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一年期项目</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项目期</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2021年-2021年</w:t>
            </w:r>
          </w:p>
        </w:tc>
      </w:tr>
      <w:tr>
        <w:tblPrEx>
          <w:tblCellMar>
            <w:top w:w="15" w:type="dxa"/>
            <w:left w:w="15" w:type="dxa"/>
            <w:bottom w:w="15" w:type="dxa"/>
            <w:right w:w="15" w:type="dxa"/>
          </w:tblCellMar>
        </w:tblPrEx>
        <w:trPr>
          <w:trHeight w:val="450" w:hRule="atLeast"/>
        </w:trPr>
        <w:tc>
          <w:tcPr>
            <w:tcW w:w="314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项目资金</w:t>
            </w:r>
            <w:r>
              <w:rPr>
                <w:rFonts w:hint="eastAsia" w:ascii="宋体" w:hAnsi="宋体" w:cs="宋体"/>
                <w:b/>
                <w:color w:val="000000"/>
                <w:kern w:val="0"/>
                <w:sz w:val="20"/>
              </w:rPr>
              <w:br w:type="textWrapping"/>
            </w:r>
            <w:r>
              <w:rPr>
                <w:rFonts w:hint="eastAsia" w:ascii="宋体" w:hAnsi="宋体" w:cs="宋体"/>
                <w:b/>
                <w:color w:val="000000"/>
                <w:kern w:val="0"/>
                <w:sz w:val="20"/>
              </w:rPr>
              <w:t>（万元）</w:t>
            </w: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年度资金总额</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5</w:t>
            </w: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其中：财政拨款</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5</w:t>
            </w: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xml:space="preserve">                   结余结转</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其他资金</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p>
        </w:tc>
      </w:tr>
      <w:tr>
        <w:tblPrEx>
          <w:tblCellMar>
            <w:top w:w="15" w:type="dxa"/>
            <w:left w:w="15" w:type="dxa"/>
            <w:bottom w:w="15" w:type="dxa"/>
            <w:right w:w="15" w:type="dxa"/>
          </w:tblCellMar>
        </w:tblPrEx>
        <w:trPr>
          <w:trHeight w:val="147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绩效目标</w:t>
            </w:r>
          </w:p>
        </w:tc>
        <w:tc>
          <w:tcPr>
            <w:tcW w:w="735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rPr>
            </w:pPr>
            <w:r>
              <w:rPr>
                <w:rFonts w:hint="eastAsia" w:ascii="宋体" w:hAnsi="宋体" w:cs="宋体"/>
                <w:color w:val="000000"/>
                <w:sz w:val="20"/>
              </w:rPr>
              <w:t>全市21个非甲烷总烃监测点</w:t>
            </w:r>
          </w:p>
        </w:tc>
      </w:tr>
      <w:tr>
        <w:tblPrEx>
          <w:tblCellMar>
            <w:top w:w="15" w:type="dxa"/>
            <w:left w:w="15" w:type="dxa"/>
            <w:bottom w:w="15" w:type="dxa"/>
            <w:right w:w="15" w:type="dxa"/>
          </w:tblCellMar>
        </w:tblPrEx>
        <w:trPr>
          <w:trHeight w:val="45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r>
      <w:tr>
        <w:tblPrEx>
          <w:tblCellMar>
            <w:top w:w="15" w:type="dxa"/>
            <w:left w:w="15" w:type="dxa"/>
            <w:bottom w:w="15" w:type="dxa"/>
            <w:right w:w="15" w:type="dxa"/>
          </w:tblCellMar>
        </w:tblPrEx>
        <w:trPr>
          <w:trHeight w:val="450"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1、产出指标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数量指标（必填硬性指标）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全市21个非甲烷总烃监测点</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21个站点</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依据监测技术规范进行监测</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监测数据及时准确</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每月监测一次</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按月监测</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成本指标（必填硬性指标）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监测所需耗材、试剂及设备维护等</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5万</w:t>
            </w:r>
          </w:p>
        </w:tc>
      </w:tr>
      <w:tr>
        <w:tblPrEx>
          <w:tblCellMar>
            <w:top w:w="15" w:type="dxa"/>
            <w:left w:w="15" w:type="dxa"/>
            <w:bottom w:w="15" w:type="dxa"/>
            <w:right w:w="15" w:type="dxa"/>
          </w:tblCellMar>
        </w:tblPrEx>
        <w:trPr>
          <w:trHeight w:val="450"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2、效益指标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为环境管理与环境执法提供监测数据</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监测数据及时准确</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经济效益指标（选填）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为环境持续改善提供数据支持及重要保障</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环境质量及时预警</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生态效益指标（选填）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r>
      <w:tr>
        <w:tblPrEx>
          <w:tblCellMar>
            <w:top w:w="15" w:type="dxa"/>
            <w:left w:w="15" w:type="dxa"/>
            <w:bottom w:w="15" w:type="dxa"/>
            <w:right w:w="15" w:type="dxa"/>
          </w:tblCellMar>
        </w:tblPrEx>
        <w:trPr>
          <w:trHeight w:val="45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3、满意度指标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社会满意度达到90%</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100%</w:t>
            </w:r>
          </w:p>
        </w:tc>
      </w:tr>
    </w:tbl>
    <w:p>
      <w:pPr>
        <w:widowControl/>
        <w:jc w:val="left"/>
        <w:outlineLvl w:val="1"/>
        <w:rPr>
          <w:rFonts w:ascii="仿宋_GB2312" w:hAnsi="宋体" w:eastAsia="仿宋_GB2312"/>
          <w:color w:val="000000"/>
          <w:kern w:val="0"/>
          <w:sz w:val="30"/>
          <w:szCs w:val="30"/>
        </w:rPr>
      </w:pPr>
    </w:p>
    <w:p>
      <w:pPr>
        <w:widowControl/>
        <w:ind w:left="1285" w:hanging="1285" w:hangingChars="400"/>
        <w:jc w:val="left"/>
        <w:outlineLvl w:val="1"/>
        <w:rPr>
          <w:rFonts w:ascii="仿宋" w:hAnsi="仿宋" w:eastAsia="仿宋" w:cs="宋体"/>
          <w:b/>
          <w:bCs/>
          <w:kern w:val="0"/>
          <w:sz w:val="32"/>
          <w:szCs w:val="32"/>
        </w:rPr>
      </w:pPr>
    </w:p>
    <w:p>
      <w:pPr>
        <w:widowControl/>
        <w:ind w:left="1285" w:hanging="1285" w:hangingChars="400"/>
        <w:jc w:val="left"/>
        <w:outlineLvl w:val="1"/>
        <w:rPr>
          <w:rFonts w:ascii="仿宋" w:hAnsi="仿宋" w:eastAsia="仿宋" w:cs="宋体"/>
          <w:b/>
          <w:bCs/>
          <w:kern w:val="0"/>
          <w:sz w:val="32"/>
          <w:szCs w:val="32"/>
        </w:rPr>
      </w:pPr>
    </w:p>
    <w:p>
      <w:pPr>
        <w:widowControl/>
        <w:ind w:left="1285" w:hanging="1285" w:hangingChars="400"/>
        <w:jc w:val="left"/>
        <w:outlineLvl w:val="1"/>
        <w:rPr>
          <w:rFonts w:ascii="仿宋" w:hAnsi="仿宋" w:eastAsia="仿宋" w:cs="宋体"/>
          <w:b/>
          <w:bCs/>
          <w:kern w:val="0"/>
          <w:sz w:val="32"/>
          <w:szCs w:val="32"/>
        </w:rPr>
      </w:pPr>
    </w:p>
    <w:tbl>
      <w:tblPr>
        <w:tblStyle w:val="8"/>
        <w:tblW w:w="0" w:type="auto"/>
        <w:tblInd w:w="0" w:type="dxa"/>
        <w:tblLayout w:type="fixed"/>
        <w:tblCellMar>
          <w:top w:w="15" w:type="dxa"/>
          <w:left w:w="15" w:type="dxa"/>
          <w:bottom w:w="15" w:type="dxa"/>
          <w:right w:w="15" w:type="dxa"/>
        </w:tblCellMar>
      </w:tblPr>
      <w:tblGrid>
        <w:gridCol w:w="1132"/>
        <w:gridCol w:w="2015"/>
        <w:gridCol w:w="2171"/>
        <w:gridCol w:w="1322"/>
        <w:gridCol w:w="1848"/>
      </w:tblGrid>
      <w:tr>
        <w:tblPrEx>
          <w:tblCellMar>
            <w:top w:w="15" w:type="dxa"/>
            <w:left w:w="15" w:type="dxa"/>
            <w:bottom w:w="15" w:type="dxa"/>
            <w:right w:w="15" w:type="dxa"/>
          </w:tblCellMar>
        </w:tblPrEx>
        <w:trPr>
          <w:trHeight w:val="885" w:hRule="atLeast"/>
        </w:trPr>
        <w:tc>
          <w:tcPr>
            <w:tcW w:w="8488" w:type="dxa"/>
            <w:gridSpan w:val="5"/>
            <w:vAlign w:val="center"/>
          </w:tcPr>
          <w:p>
            <w:pPr>
              <w:widowControl/>
              <w:jc w:val="center"/>
              <w:textAlignment w:val="center"/>
              <w:rPr>
                <w:rFonts w:ascii="宋体" w:hAnsi="宋体" w:cs="宋体"/>
                <w:b/>
                <w:color w:val="000000"/>
                <w:sz w:val="40"/>
                <w:szCs w:val="40"/>
              </w:rPr>
            </w:pPr>
            <w:r>
              <w:rPr>
                <w:rFonts w:hint="eastAsia" w:ascii="宋体" w:hAnsi="宋体" w:cs="宋体"/>
                <w:b/>
                <w:color w:val="000000"/>
                <w:kern w:val="0"/>
                <w:sz w:val="28"/>
                <w:szCs w:val="28"/>
              </w:rPr>
              <w:t>2021年吴忠市本级部门项目支出预算绩效目标表</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项目名称</w:t>
            </w:r>
          </w:p>
        </w:tc>
        <w:tc>
          <w:tcPr>
            <w:tcW w:w="5341"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0"/>
              </w:rPr>
            </w:pPr>
            <w:r>
              <w:rPr>
                <w:rFonts w:hint="eastAsia" w:ascii="宋体" w:hAnsi="宋体" w:cs="宋体"/>
                <w:color w:val="000000"/>
                <w:sz w:val="20"/>
              </w:rPr>
              <w:t>复转军人工资</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主管部门</w:t>
            </w:r>
          </w:p>
        </w:tc>
        <w:tc>
          <w:tcPr>
            <w:tcW w:w="21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吴忠市生态环境局</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实施单位</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吴忠市生态环境监测站</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项目属性</w:t>
            </w:r>
          </w:p>
        </w:tc>
        <w:tc>
          <w:tcPr>
            <w:tcW w:w="21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一年期项目</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项目期</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2021年-2021年</w:t>
            </w:r>
          </w:p>
        </w:tc>
      </w:tr>
      <w:tr>
        <w:tblPrEx>
          <w:tblCellMar>
            <w:top w:w="15" w:type="dxa"/>
            <w:left w:w="15" w:type="dxa"/>
            <w:bottom w:w="15" w:type="dxa"/>
            <w:right w:w="15" w:type="dxa"/>
          </w:tblCellMar>
        </w:tblPrEx>
        <w:trPr>
          <w:trHeight w:val="450" w:hRule="atLeast"/>
        </w:trPr>
        <w:tc>
          <w:tcPr>
            <w:tcW w:w="314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项目资金</w:t>
            </w:r>
            <w:r>
              <w:rPr>
                <w:rFonts w:hint="eastAsia" w:ascii="宋体" w:hAnsi="宋体" w:cs="宋体"/>
                <w:b/>
                <w:color w:val="000000"/>
                <w:kern w:val="0"/>
                <w:sz w:val="20"/>
              </w:rPr>
              <w:br w:type="textWrapping"/>
            </w:r>
            <w:r>
              <w:rPr>
                <w:rFonts w:hint="eastAsia" w:ascii="宋体" w:hAnsi="宋体" w:cs="宋体"/>
                <w:b/>
                <w:color w:val="000000"/>
                <w:kern w:val="0"/>
                <w:sz w:val="20"/>
              </w:rPr>
              <w:t>（万元）</w:t>
            </w: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年度资金总额</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10</w:t>
            </w: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其中：财政拨款</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10</w:t>
            </w: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xml:space="preserve">                   结余结转</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其他资金</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p>
        </w:tc>
      </w:tr>
      <w:tr>
        <w:tblPrEx>
          <w:tblCellMar>
            <w:top w:w="15" w:type="dxa"/>
            <w:left w:w="15" w:type="dxa"/>
            <w:bottom w:w="15" w:type="dxa"/>
            <w:right w:w="15" w:type="dxa"/>
          </w:tblCellMar>
        </w:tblPrEx>
        <w:trPr>
          <w:trHeight w:val="147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绩效目标</w:t>
            </w:r>
          </w:p>
        </w:tc>
        <w:tc>
          <w:tcPr>
            <w:tcW w:w="735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rPr>
            </w:pPr>
            <w:r>
              <w:rPr>
                <w:rFonts w:hint="eastAsia" w:ascii="宋体" w:hAnsi="宋体" w:cs="宋体"/>
                <w:color w:val="000000"/>
                <w:sz w:val="20"/>
              </w:rPr>
              <w:t>完成1名复转军人全年工资、社会保险缴费等</w:t>
            </w:r>
          </w:p>
        </w:tc>
      </w:tr>
      <w:tr>
        <w:tblPrEx>
          <w:tblCellMar>
            <w:top w:w="15" w:type="dxa"/>
            <w:left w:w="15" w:type="dxa"/>
            <w:bottom w:w="15" w:type="dxa"/>
            <w:right w:w="15" w:type="dxa"/>
          </w:tblCellMar>
        </w:tblPrEx>
        <w:trPr>
          <w:trHeight w:val="45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r>
      <w:tr>
        <w:tblPrEx>
          <w:tblCellMar>
            <w:top w:w="15" w:type="dxa"/>
            <w:left w:w="15" w:type="dxa"/>
            <w:bottom w:w="15" w:type="dxa"/>
            <w:right w:w="15" w:type="dxa"/>
          </w:tblCellMar>
        </w:tblPrEx>
        <w:trPr>
          <w:trHeight w:val="450"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1、产出指标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数量指标（必填硬性指标）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1名复转军人</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1人</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依据人设局核定标准，足额发放</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保障运行</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每月按时发放工资，缴纳社保等费用</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按时发放</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成本指标（必填硬性指标）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全年10万元</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10万</w:t>
            </w:r>
          </w:p>
        </w:tc>
      </w:tr>
      <w:tr>
        <w:tblPrEx>
          <w:tblCellMar>
            <w:top w:w="15" w:type="dxa"/>
            <w:left w:w="15" w:type="dxa"/>
            <w:bottom w:w="15" w:type="dxa"/>
            <w:right w:w="15" w:type="dxa"/>
          </w:tblCellMar>
        </w:tblPrEx>
        <w:trPr>
          <w:trHeight w:val="450"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2、效益指标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保障复转军人工资和社保</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复转军人安置保障</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经济效益指标（选填）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保障工作正常运转</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保障人员工作</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生态效益指标（选填）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r>
      <w:tr>
        <w:tblPrEx>
          <w:tblCellMar>
            <w:top w:w="15" w:type="dxa"/>
            <w:left w:w="15" w:type="dxa"/>
            <w:bottom w:w="15" w:type="dxa"/>
            <w:right w:w="15" w:type="dxa"/>
          </w:tblCellMar>
        </w:tblPrEx>
        <w:trPr>
          <w:trHeight w:val="45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3、满意度指标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满意度达到90%</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90%</w:t>
            </w:r>
          </w:p>
        </w:tc>
      </w:tr>
    </w:tbl>
    <w:p>
      <w:pPr>
        <w:widowControl/>
        <w:ind w:left="1285" w:hanging="1285" w:hangingChars="400"/>
        <w:jc w:val="left"/>
        <w:outlineLvl w:val="1"/>
        <w:rPr>
          <w:rFonts w:ascii="仿宋" w:hAnsi="仿宋" w:eastAsia="仿宋" w:cs="宋体"/>
          <w:b/>
          <w:bCs/>
          <w:kern w:val="0"/>
          <w:sz w:val="32"/>
          <w:szCs w:val="32"/>
        </w:rPr>
      </w:pPr>
    </w:p>
    <w:p>
      <w:pPr>
        <w:widowControl/>
        <w:ind w:left="1285" w:hanging="1285" w:hangingChars="400"/>
        <w:jc w:val="left"/>
        <w:outlineLvl w:val="1"/>
        <w:rPr>
          <w:rFonts w:ascii="仿宋" w:hAnsi="仿宋" w:eastAsia="仿宋" w:cs="宋体"/>
          <w:b/>
          <w:bCs/>
          <w:kern w:val="0"/>
          <w:sz w:val="32"/>
          <w:szCs w:val="32"/>
        </w:rPr>
      </w:pPr>
    </w:p>
    <w:p>
      <w:pPr>
        <w:widowControl/>
        <w:ind w:left="1285" w:hanging="1285" w:hangingChars="400"/>
        <w:jc w:val="left"/>
        <w:outlineLvl w:val="1"/>
        <w:rPr>
          <w:rFonts w:ascii="仿宋" w:hAnsi="仿宋" w:eastAsia="仿宋" w:cs="宋体"/>
          <w:b/>
          <w:bCs/>
          <w:kern w:val="0"/>
          <w:sz w:val="32"/>
          <w:szCs w:val="32"/>
        </w:rPr>
      </w:pPr>
    </w:p>
    <w:tbl>
      <w:tblPr>
        <w:tblStyle w:val="8"/>
        <w:tblW w:w="0" w:type="auto"/>
        <w:tblInd w:w="0" w:type="dxa"/>
        <w:tblLayout w:type="fixed"/>
        <w:tblCellMar>
          <w:top w:w="15" w:type="dxa"/>
          <w:left w:w="15" w:type="dxa"/>
          <w:bottom w:w="15" w:type="dxa"/>
          <w:right w:w="15" w:type="dxa"/>
        </w:tblCellMar>
      </w:tblPr>
      <w:tblGrid>
        <w:gridCol w:w="1132"/>
        <w:gridCol w:w="2015"/>
        <w:gridCol w:w="2171"/>
        <w:gridCol w:w="1322"/>
        <w:gridCol w:w="1848"/>
      </w:tblGrid>
      <w:tr>
        <w:tblPrEx>
          <w:tblCellMar>
            <w:top w:w="15" w:type="dxa"/>
            <w:left w:w="15" w:type="dxa"/>
            <w:bottom w:w="15" w:type="dxa"/>
            <w:right w:w="15" w:type="dxa"/>
          </w:tblCellMar>
        </w:tblPrEx>
        <w:trPr>
          <w:trHeight w:val="885" w:hRule="atLeast"/>
        </w:trPr>
        <w:tc>
          <w:tcPr>
            <w:tcW w:w="8488" w:type="dxa"/>
            <w:gridSpan w:val="5"/>
            <w:vAlign w:val="center"/>
          </w:tcPr>
          <w:p>
            <w:pPr>
              <w:widowControl/>
              <w:jc w:val="center"/>
              <w:textAlignment w:val="center"/>
              <w:rPr>
                <w:rFonts w:ascii="宋体" w:hAnsi="宋体" w:cs="宋体"/>
                <w:b/>
                <w:color w:val="000000"/>
                <w:sz w:val="40"/>
                <w:szCs w:val="40"/>
              </w:rPr>
            </w:pPr>
            <w:r>
              <w:rPr>
                <w:rFonts w:hint="eastAsia" w:ascii="宋体" w:hAnsi="宋体" w:cs="宋体"/>
                <w:b/>
                <w:color w:val="000000"/>
                <w:kern w:val="0"/>
                <w:sz w:val="28"/>
                <w:szCs w:val="28"/>
              </w:rPr>
              <w:t>2021年吴忠市本级部门项目支出预算绩效目标表</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项目名称</w:t>
            </w:r>
          </w:p>
        </w:tc>
        <w:tc>
          <w:tcPr>
            <w:tcW w:w="5341"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0"/>
              </w:rPr>
            </w:pPr>
            <w:r>
              <w:rPr>
                <w:rFonts w:hint="eastAsia" w:ascii="宋体" w:hAnsi="宋体" w:cs="宋体"/>
                <w:color w:val="000000"/>
                <w:sz w:val="20"/>
              </w:rPr>
              <w:t>环境监测津贴</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主管部门</w:t>
            </w:r>
          </w:p>
        </w:tc>
        <w:tc>
          <w:tcPr>
            <w:tcW w:w="21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吴忠市生态环境局</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实施单位</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吴忠市生态环境监测站</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项目属性</w:t>
            </w:r>
          </w:p>
        </w:tc>
        <w:tc>
          <w:tcPr>
            <w:tcW w:w="21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一年期项目</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项目期</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2021年-2021年</w:t>
            </w:r>
          </w:p>
        </w:tc>
      </w:tr>
      <w:tr>
        <w:tblPrEx>
          <w:tblCellMar>
            <w:top w:w="15" w:type="dxa"/>
            <w:left w:w="15" w:type="dxa"/>
            <w:bottom w:w="15" w:type="dxa"/>
            <w:right w:w="15" w:type="dxa"/>
          </w:tblCellMar>
        </w:tblPrEx>
        <w:trPr>
          <w:trHeight w:val="450" w:hRule="atLeast"/>
        </w:trPr>
        <w:tc>
          <w:tcPr>
            <w:tcW w:w="314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项目资金</w:t>
            </w:r>
            <w:r>
              <w:rPr>
                <w:rFonts w:hint="eastAsia" w:ascii="宋体" w:hAnsi="宋体" w:cs="宋体"/>
                <w:b/>
                <w:color w:val="000000"/>
                <w:kern w:val="0"/>
                <w:sz w:val="20"/>
              </w:rPr>
              <w:br w:type="textWrapping"/>
            </w:r>
            <w:r>
              <w:rPr>
                <w:rFonts w:hint="eastAsia" w:ascii="宋体" w:hAnsi="宋体" w:cs="宋体"/>
                <w:b/>
                <w:color w:val="000000"/>
                <w:kern w:val="0"/>
                <w:sz w:val="20"/>
              </w:rPr>
              <w:t>（万元）</w:t>
            </w: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年度资金总额</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13.5</w:t>
            </w: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其中：财政拨款</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13.5</w:t>
            </w: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xml:space="preserve">                   结余结转</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其他资金</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p>
        </w:tc>
      </w:tr>
      <w:tr>
        <w:tblPrEx>
          <w:tblCellMar>
            <w:top w:w="15" w:type="dxa"/>
            <w:left w:w="15" w:type="dxa"/>
            <w:bottom w:w="15" w:type="dxa"/>
            <w:right w:w="15" w:type="dxa"/>
          </w:tblCellMar>
        </w:tblPrEx>
        <w:trPr>
          <w:trHeight w:val="147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绩效目标</w:t>
            </w:r>
          </w:p>
        </w:tc>
        <w:tc>
          <w:tcPr>
            <w:tcW w:w="735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rPr>
            </w:pPr>
            <w:r>
              <w:rPr>
                <w:rFonts w:hint="eastAsia" w:ascii="宋体" w:hAnsi="宋体" w:cs="宋体"/>
                <w:color w:val="000000"/>
                <w:sz w:val="20"/>
              </w:rPr>
              <w:t>我站31名在编人员全年监测津贴</w:t>
            </w:r>
          </w:p>
        </w:tc>
      </w:tr>
      <w:tr>
        <w:tblPrEx>
          <w:tblCellMar>
            <w:top w:w="15" w:type="dxa"/>
            <w:left w:w="15" w:type="dxa"/>
            <w:bottom w:w="15" w:type="dxa"/>
            <w:right w:w="15" w:type="dxa"/>
          </w:tblCellMar>
        </w:tblPrEx>
        <w:trPr>
          <w:trHeight w:val="45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r>
      <w:tr>
        <w:tblPrEx>
          <w:tblCellMar>
            <w:top w:w="15" w:type="dxa"/>
            <w:left w:w="15" w:type="dxa"/>
            <w:bottom w:w="15" w:type="dxa"/>
            <w:right w:w="15" w:type="dxa"/>
          </w:tblCellMar>
        </w:tblPrEx>
        <w:trPr>
          <w:trHeight w:val="450"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1、产出指标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数量指标（必填硬性指标）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我站31名在编人员全年监测津贴</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31人</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依据市人社局核定的标准发放</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健康保障</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监测津贴未纳入工资统发系统，需按月发放</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1年</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成本指标（必填硬性指标）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依据核定的等次和标准发放</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13.5万元</w:t>
            </w:r>
          </w:p>
        </w:tc>
      </w:tr>
      <w:tr>
        <w:tblPrEx>
          <w:tblCellMar>
            <w:top w:w="15" w:type="dxa"/>
            <w:left w:w="15" w:type="dxa"/>
            <w:bottom w:w="15" w:type="dxa"/>
            <w:right w:w="15" w:type="dxa"/>
          </w:tblCellMar>
        </w:tblPrEx>
        <w:trPr>
          <w:trHeight w:val="450"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2、效益指标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保障监测人员正常工资待遇</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工作保障</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经济效益指标（选填）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保障环境监测工作有序开展</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环境持续改善</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生态效益指标（选填）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r>
      <w:tr>
        <w:tblPrEx>
          <w:tblCellMar>
            <w:top w:w="15" w:type="dxa"/>
            <w:left w:w="15" w:type="dxa"/>
            <w:bottom w:w="15" w:type="dxa"/>
            <w:right w:w="15" w:type="dxa"/>
          </w:tblCellMar>
        </w:tblPrEx>
        <w:trPr>
          <w:trHeight w:val="45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3、满意度指标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社会满意度达到90%</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100</w:t>
            </w:r>
          </w:p>
        </w:tc>
      </w:tr>
    </w:tbl>
    <w:p>
      <w:pPr>
        <w:widowControl/>
        <w:ind w:left="1285" w:hanging="1285" w:hangingChars="400"/>
        <w:jc w:val="left"/>
        <w:outlineLvl w:val="1"/>
        <w:rPr>
          <w:rFonts w:ascii="仿宋" w:hAnsi="仿宋" w:eastAsia="仿宋" w:cs="宋体"/>
          <w:b/>
          <w:bCs/>
          <w:kern w:val="0"/>
          <w:sz w:val="32"/>
          <w:szCs w:val="32"/>
        </w:rPr>
      </w:pPr>
    </w:p>
    <w:p>
      <w:pPr>
        <w:widowControl/>
        <w:ind w:left="1285" w:hanging="1285" w:hangingChars="400"/>
        <w:jc w:val="left"/>
        <w:outlineLvl w:val="1"/>
        <w:rPr>
          <w:rFonts w:ascii="仿宋" w:hAnsi="仿宋" w:eastAsia="仿宋" w:cs="宋体"/>
          <w:b/>
          <w:bCs/>
          <w:kern w:val="0"/>
          <w:sz w:val="32"/>
          <w:szCs w:val="32"/>
        </w:rPr>
      </w:pPr>
    </w:p>
    <w:p>
      <w:pPr>
        <w:widowControl/>
        <w:ind w:left="1285" w:hanging="1285" w:hangingChars="400"/>
        <w:jc w:val="left"/>
        <w:outlineLvl w:val="1"/>
        <w:rPr>
          <w:rFonts w:ascii="仿宋" w:hAnsi="仿宋" w:eastAsia="仿宋" w:cs="宋体"/>
          <w:b/>
          <w:bCs/>
          <w:kern w:val="0"/>
          <w:sz w:val="32"/>
          <w:szCs w:val="32"/>
        </w:rPr>
      </w:pPr>
    </w:p>
    <w:tbl>
      <w:tblPr>
        <w:tblStyle w:val="8"/>
        <w:tblW w:w="0" w:type="auto"/>
        <w:tblInd w:w="0" w:type="dxa"/>
        <w:tblLayout w:type="fixed"/>
        <w:tblCellMar>
          <w:top w:w="15" w:type="dxa"/>
          <w:left w:w="15" w:type="dxa"/>
          <w:bottom w:w="15" w:type="dxa"/>
          <w:right w:w="15" w:type="dxa"/>
        </w:tblCellMar>
      </w:tblPr>
      <w:tblGrid>
        <w:gridCol w:w="1132"/>
        <w:gridCol w:w="2015"/>
        <w:gridCol w:w="2171"/>
        <w:gridCol w:w="1322"/>
        <w:gridCol w:w="1848"/>
      </w:tblGrid>
      <w:tr>
        <w:tblPrEx>
          <w:tblCellMar>
            <w:top w:w="15" w:type="dxa"/>
            <w:left w:w="15" w:type="dxa"/>
            <w:bottom w:w="15" w:type="dxa"/>
            <w:right w:w="15" w:type="dxa"/>
          </w:tblCellMar>
        </w:tblPrEx>
        <w:trPr>
          <w:trHeight w:val="885" w:hRule="atLeast"/>
        </w:trPr>
        <w:tc>
          <w:tcPr>
            <w:tcW w:w="8488" w:type="dxa"/>
            <w:gridSpan w:val="5"/>
            <w:vAlign w:val="center"/>
          </w:tcPr>
          <w:p>
            <w:pPr>
              <w:widowControl/>
              <w:jc w:val="center"/>
              <w:textAlignment w:val="center"/>
              <w:rPr>
                <w:rFonts w:ascii="宋体" w:hAnsi="宋体" w:cs="宋体"/>
                <w:b/>
                <w:color w:val="000000"/>
                <w:sz w:val="40"/>
                <w:szCs w:val="40"/>
              </w:rPr>
            </w:pPr>
            <w:r>
              <w:rPr>
                <w:rFonts w:hint="eastAsia" w:ascii="宋体" w:hAnsi="宋体" w:cs="宋体"/>
                <w:b/>
                <w:color w:val="000000"/>
                <w:kern w:val="0"/>
                <w:sz w:val="28"/>
                <w:szCs w:val="28"/>
              </w:rPr>
              <w:t>2021年吴忠市本级部门项目支出预算绩效目标表</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项目名称</w:t>
            </w:r>
          </w:p>
        </w:tc>
        <w:tc>
          <w:tcPr>
            <w:tcW w:w="5341"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0"/>
              </w:rPr>
            </w:pPr>
            <w:r>
              <w:rPr>
                <w:rFonts w:hint="eastAsia" w:ascii="宋体" w:hAnsi="宋体" w:cs="宋体"/>
                <w:color w:val="000000"/>
                <w:sz w:val="20"/>
              </w:rPr>
              <w:t>环境监测经费（人员支出）</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主管部门</w:t>
            </w:r>
          </w:p>
        </w:tc>
        <w:tc>
          <w:tcPr>
            <w:tcW w:w="21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吴忠市生态环境局</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实施单位</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吴忠市生态环境监测站</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项目属性</w:t>
            </w:r>
          </w:p>
        </w:tc>
        <w:tc>
          <w:tcPr>
            <w:tcW w:w="21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一年期项目</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项目期</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2021年-2021年</w:t>
            </w:r>
          </w:p>
        </w:tc>
      </w:tr>
      <w:tr>
        <w:tblPrEx>
          <w:tblCellMar>
            <w:top w:w="15" w:type="dxa"/>
            <w:left w:w="15" w:type="dxa"/>
            <w:bottom w:w="15" w:type="dxa"/>
            <w:right w:w="15" w:type="dxa"/>
          </w:tblCellMar>
        </w:tblPrEx>
        <w:trPr>
          <w:trHeight w:val="450" w:hRule="atLeast"/>
        </w:trPr>
        <w:tc>
          <w:tcPr>
            <w:tcW w:w="314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项目资金</w:t>
            </w:r>
            <w:r>
              <w:rPr>
                <w:rFonts w:hint="eastAsia" w:ascii="宋体" w:hAnsi="宋体" w:cs="宋体"/>
                <w:b/>
                <w:color w:val="000000"/>
                <w:kern w:val="0"/>
                <w:sz w:val="20"/>
              </w:rPr>
              <w:br w:type="textWrapping"/>
            </w:r>
            <w:r>
              <w:rPr>
                <w:rFonts w:hint="eastAsia" w:ascii="宋体" w:hAnsi="宋体" w:cs="宋体"/>
                <w:b/>
                <w:color w:val="000000"/>
                <w:kern w:val="0"/>
                <w:sz w:val="20"/>
              </w:rPr>
              <w:t>（万元）</w:t>
            </w: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年度资金总额</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216</w:t>
            </w: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其中：财政拨款</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216</w:t>
            </w: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xml:space="preserve">                   结余结转</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其他资金</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p>
        </w:tc>
      </w:tr>
      <w:tr>
        <w:tblPrEx>
          <w:tblCellMar>
            <w:top w:w="15" w:type="dxa"/>
            <w:left w:w="15" w:type="dxa"/>
            <w:bottom w:w="15" w:type="dxa"/>
            <w:right w:w="15" w:type="dxa"/>
          </w:tblCellMar>
        </w:tblPrEx>
        <w:trPr>
          <w:trHeight w:val="147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绩效目标</w:t>
            </w:r>
          </w:p>
        </w:tc>
        <w:tc>
          <w:tcPr>
            <w:tcW w:w="735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rPr>
            </w:pPr>
            <w:r>
              <w:rPr>
                <w:rFonts w:hint="eastAsia" w:ascii="宋体" w:hAnsi="宋体" w:cs="宋体"/>
                <w:color w:val="000000"/>
                <w:sz w:val="20"/>
              </w:rPr>
              <w:t>12名自收自支编制人员工资</w:t>
            </w:r>
          </w:p>
        </w:tc>
      </w:tr>
      <w:tr>
        <w:tblPrEx>
          <w:tblCellMar>
            <w:top w:w="15" w:type="dxa"/>
            <w:left w:w="15" w:type="dxa"/>
            <w:bottom w:w="15" w:type="dxa"/>
            <w:right w:w="15" w:type="dxa"/>
          </w:tblCellMar>
        </w:tblPrEx>
        <w:trPr>
          <w:trHeight w:val="45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r>
      <w:tr>
        <w:tblPrEx>
          <w:tblCellMar>
            <w:top w:w="15" w:type="dxa"/>
            <w:left w:w="15" w:type="dxa"/>
            <w:bottom w:w="15" w:type="dxa"/>
            <w:right w:w="15" w:type="dxa"/>
          </w:tblCellMar>
        </w:tblPrEx>
        <w:trPr>
          <w:trHeight w:val="450"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1、产出指标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数量指标（必填硬性指标）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12名自收自支编制人员</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12人</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依据工资标准发放工资，缴纳社会保险</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足额保障</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每月按时发放工资、缴纳社会保险</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1年</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成本指标（必填硬性指标）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依据核定的工资标准发放</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216万</w:t>
            </w:r>
          </w:p>
        </w:tc>
      </w:tr>
      <w:tr>
        <w:tblPrEx>
          <w:tblCellMar>
            <w:top w:w="15" w:type="dxa"/>
            <w:left w:w="15" w:type="dxa"/>
            <w:bottom w:w="15" w:type="dxa"/>
            <w:right w:w="15" w:type="dxa"/>
          </w:tblCellMar>
        </w:tblPrEx>
        <w:trPr>
          <w:trHeight w:val="450"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2、效益指标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保障环境监测工作有序开展</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全市</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经济效益指标（选填）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为环境持续改善提供数据支持</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逐年改善</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生态效益指标（选填）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r>
      <w:tr>
        <w:tblPrEx>
          <w:tblCellMar>
            <w:top w:w="15" w:type="dxa"/>
            <w:left w:w="15" w:type="dxa"/>
            <w:bottom w:w="15" w:type="dxa"/>
            <w:right w:w="15" w:type="dxa"/>
          </w:tblCellMar>
        </w:tblPrEx>
        <w:trPr>
          <w:trHeight w:val="45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3、满意度指标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社会满意度达到90%</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100%</w:t>
            </w:r>
          </w:p>
        </w:tc>
      </w:tr>
    </w:tbl>
    <w:p>
      <w:pPr>
        <w:widowControl/>
        <w:ind w:left="1285" w:hanging="1285" w:hangingChars="400"/>
        <w:jc w:val="left"/>
        <w:outlineLvl w:val="1"/>
        <w:rPr>
          <w:rFonts w:ascii="仿宋" w:hAnsi="仿宋" w:eastAsia="仿宋" w:cs="宋体"/>
          <w:b/>
          <w:bCs/>
          <w:kern w:val="0"/>
          <w:sz w:val="32"/>
          <w:szCs w:val="32"/>
        </w:rPr>
      </w:pPr>
    </w:p>
    <w:p>
      <w:pPr>
        <w:widowControl/>
        <w:ind w:left="1285" w:hanging="1285" w:hangingChars="400"/>
        <w:jc w:val="left"/>
        <w:outlineLvl w:val="1"/>
        <w:rPr>
          <w:rFonts w:ascii="仿宋" w:hAnsi="仿宋" w:eastAsia="仿宋" w:cs="宋体"/>
          <w:b/>
          <w:bCs/>
          <w:kern w:val="0"/>
          <w:sz w:val="32"/>
          <w:szCs w:val="32"/>
        </w:rPr>
      </w:pPr>
    </w:p>
    <w:p>
      <w:pPr>
        <w:widowControl/>
        <w:ind w:left="1285" w:hanging="1285" w:hangingChars="400"/>
        <w:jc w:val="left"/>
        <w:outlineLvl w:val="1"/>
        <w:rPr>
          <w:rFonts w:ascii="仿宋" w:hAnsi="仿宋" w:eastAsia="仿宋" w:cs="宋体"/>
          <w:b/>
          <w:bCs/>
          <w:kern w:val="0"/>
          <w:sz w:val="32"/>
          <w:szCs w:val="32"/>
        </w:rPr>
      </w:pPr>
    </w:p>
    <w:tbl>
      <w:tblPr>
        <w:tblStyle w:val="8"/>
        <w:tblW w:w="0" w:type="auto"/>
        <w:tblInd w:w="0" w:type="dxa"/>
        <w:tblLayout w:type="fixed"/>
        <w:tblCellMar>
          <w:top w:w="15" w:type="dxa"/>
          <w:left w:w="15" w:type="dxa"/>
          <w:bottom w:w="15" w:type="dxa"/>
          <w:right w:w="15" w:type="dxa"/>
        </w:tblCellMar>
      </w:tblPr>
      <w:tblGrid>
        <w:gridCol w:w="1132"/>
        <w:gridCol w:w="2015"/>
        <w:gridCol w:w="2171"/>
        <w:gridCol w:w="1322"/>
        <w:gridCol w:w="1848"/>
      </w:tblGrid>
      <w:tr>
        <w:tblPrEx>
          <w:tblCellMar>
            <w:top w:w="15" w:type="dxa"/>
            <w:left w:w="15" w:type="dxa"/>
            <w:bottom w:w="15" w:type="dxa"/>
            <w:right w:w="15" w:type="dxa"/>
          </w:tblCellMar>
        </w:tblPrEx>
        <w:trPr>
          <w:trHeight w:val="885" w:hRule="atLeast"/>
        </w:trPr>
        <w:tc>
          <w:tcPr>
            <w:tcW w:w="8488" w:type="dxa"/>
            <w:gridSpan w:val="5"/>
            <w:vAlign w:val="center"/>
          </w:tcPr>
          <w:p>
            <w:pPr>
              <w:widowControl/>
              <w:jc w:val="center"/>
              <w:textAlignment w:val="center"/>
              <w:rPr>
                <w:rFonts w:ascii="宋体" w:hAnsi="宋体" w:cs="宋体"/>
                <w:b/>
                <w:color w:val="000000"/>
                <w:sz w:val="40"/>
                <w:szCs w:val="40"/>
              </w:rPr>
            </w:pPr>
            <w:r>
              <w:rPr>
                <w:rFonts w:hint="eastAsia" w:ascii="宋体" w:hAnsi="宋体" w:cs="宋体"/>
                <w:b/>
                <w:color w:val="000000"/>
                <w:kern w:val="0"/>
                <w:sz w:val="28"/>
                <w:szCs w:val="28"/>
              </w:rPr>
              <w:t>2021年吴忠市本级部门项目支出预算绩效目标表</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项目名称</w:t>
            </w:r>
          </w:p>
        </w:tc>
        <w:tc>
          <w:tcPr>
            <w:tcW w:w="5341"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0"/>
              </w:rPr>
            </w:pPr>
            <w:r>
              <w:rPr>
                <w:rFonts w:hint="eastAsia" w:ascii="宋体" w:hAnsi="宋体" w:cs="宋体"/>
                <w:color w:val="000000"/>
                <w:sz w:val="20"/>
              </w:rPr>
              <w:t>黄河水质自动站采水系统维护经费</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主管部门</w:t>
            </w:r>
          </w:p>
        </w:tc>
        <w:tc>
          <w:tcPr>
            <w:tcW w:w="21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吴忠市生态环境局</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实施单位</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吴忠市生态环境监测站</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项目属性</w:t>
            </w:r>
          </w:p>
        </w:tc>
        <w:tc>
          <w:tcPr>
            <w:tcW w:w="21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一年期项目</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项目期</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2021年-2021年</w:t>
            </w:r>
          </w:p>
        </w:tc>
      </w:tr>
      <w:tr>
        <w:tblPrEx>
          <w:tblCellMar>
            <w:top w:w="15" w:type="dxa"/>
            <w:left w:w="15" w:type="dxa"/>
            <w:bottom w:w="15" w:type="dxa"/>
            <w:right w:w="15" w:type="dxa"/>
          </w:tblCellMar>
        </w:tblPrEx>
        <w:trPr>
          <w:trHeight w:val="450" w:hRule="atLeast"/>
        </w:trPr>
        <w:tc>
          <w:tcPr>
            <w:tcW w:w="314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项目资金</w:t>
            </w:r>
            <w:r>
              <w:rPr>
                <w:rFonts w:hint="eastAsia" w:ascii="宋体" w:hAnsi="宋体" w:cs="宋体"/>
                <w:b/>
                <w:color w:val="000000"/>
                <w:kern w:val="0"/>
                <w:sz w:val="20"/>
              </w:rPr>
              <w:br w:type="textWrapping"/>
            </w:r>
            <w:r>
              <w:rPr>
                <w:rFonts w:hint="eastAsia" w:ascii="宋体" w:hAnsi="宋体" w:cs="宋体"/>
                <w:b/>
                <w:color w:val="000000"/>
                <w:kern w:val="0"/>
                <w:sz w:val="20"/>
              </w:rPr>
              <w:t>（万元）</w:t>
            </w: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年度资金总额</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10</w:t>
            </w: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其中：财政拨款</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10</w:t>
            </w: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xml:space="preserve">                   结余结转</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其他资金</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p>
        </w:tc>
      </w:tr>
      <w:tr>
        <w:tblPrEx>
          <w:tblCellMar>
            <w:top w:w="15" w:type="dxa"/>
            <w:left w:w="15" w:type="dxa"/>
            <w:bottom w:w="15" w:type="dxa"/>
            <w:right w:w="15" w:type="dxa"/>
          </w:tblCellMar>
        </w:tblPrEx>
        <w:trPr>
          <w:trHeight w:val="147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绩效目标</w:t>
            </w:r>
          </w:p>
        </w:tc>
        <w:tc>
          <w:tcPr>
            <w:tcW w:w="735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rPr>
            </w:pPr>
            <w:r>
              <w:rPr>
                <w:rFonts w:hint="eastAsia" w:ascii="宋体" w:hAnsi="宋体" w:cs="宋体"/>
                <w:color w:val="000000"/>
                <w:sz w:val="20"/>
              </w:rPr>
              <w:t>1个黄河水质自动站采水系统</w:t>
            </w:r>
          </w:p>
        </w:tc>
      </w:tr>
      <w:tr>
        <w:tblPrEx>
          <w:tblCellMar>
            <w:top w:w="15" w:type="dxa"/>
            <w:left w:w="15" w:type="dxa"/>
            <w:bottom w:w="15" w:type="dxa"/>
            <w:right w:w="15" w:type="dxa"/>
          </w:tblCellMar>
        </w:tblPrEx>
        <w:trPr>
          <w:trHeight w:val="45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r>
      <w:tr>
        <w:tblPrEx>
          <w:tblCellMar>
            <w:top w:w="15" w:type="dxa"/>
            <w:left w:w="15" w:type="dxa"/>
            <w:bottom w:w="15" w:type="dxa"/>
            <w:right w:w="15" w:type="dxa"/>
          </w:tblCellMar>
        </w:tblPrEx>
        <w:trPr>
          <w:trHeight w:val="450"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1、产出指标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数量指标（必填硬性指标）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1个黄河水质自动站采水系统</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1个</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确保自动站监测系统正常运行，监测数据及时上报</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保障系统运行</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每季度清理一次，全年清理4次</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1年</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成本指标（必填硬性指标）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采水系统清理产生的费用</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10万</w:t>
            </w:r>
          </w:p>
        </w:tc>
      </w:tr>
      <w:tr>
        <w:tblPrEx>
          <w:tblCellMar>
            <w:top w:w="15" w:type="dxa"/>
            <w:left w:w="15" w:type="dxa"/>
            <w:bottom w:w="15" w:type="dxa"/>
            <w:right w:w="15" w:type="dxa"/>
          </w:tblCellMar>
        </w:tblPrEx>
        <w:trPr>
          <w:trHeight w:val="450"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2、效益指标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为环境管理提供实时数据保障</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保障数据连续性</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经济效益指标（选填）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为环境持续性改善提供重要依据和数据支持</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持续改善</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生态效益指标（选填）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r>
      <w:tr>
        <w:tblPrEx>
          <w:tblCellMar>
            <w:top w:w="15" w:type="dxa"/>
            <w:left w:w="15" w:type="dxa"/>
            <w:bottom w:w="15" w:type="dxa"/>
            <w:right w:w="15" w:type="dxa"/>
          </w:tblCellMar>
        </w:tblPrEx>
        <w:trPr>
          <w:trHeight w:val="45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3、满意度指标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社会满意度达到90%</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100%</w:t>
            </w:r>
          </w:p>
        </w:tc>
      </w:tr>
    </w:tbl>
    <w:p>
      <w:pPr>
        <w:widowControl/>
        <w:ind w:left="1285" w:hanging="1285" w:hangingChars="400"/>
        <w:jc w:val="left"/>
        <w:outlineLvl w:val="1"/>
        <w:rPr>
          <w:rFonts w:ascii="仿宋" w:hAnsi="仿宋" w:eastAsia="仿宋" w:cs="宋体"/>
          <w:b/>
          <w:bCs/>
          <w:kern w:val="0"/>
          <w:sz w:val="32"/>
          <w:szCs w:val="32"/>
        </w:rPr>
      </w:pPr>
    </w:p>
    <w:p>
      <w:pPr>
        <w:widowControl/>
        <w:ind w:left="1285" w:hanging="1285" w:hangingChars="400"/>
        <w:jc w:val="left"/>
        <w:outlineLvl w:val="1"/>
        <w:rPr>
          <w:rFonts w:ascii="仿宋" w:hAnsi="仿宋" w:eastAsia="仿宋" w:cs="宋体"/>
          <w:b/>
          <w:bCs/>
          <w:kern w:val="0"/>
          <w:sz w:val="32"/>
          <w:szCs w:val="32"/>
        </w:rPr>
      </w:pPr>
    </w:p>
    <w:p>
      <w:pPr>
        <w:widowControl/>
        <w:ind w:left="1285" w:hanging="1285" w:hangingChars="400"/>
        <w:jc w:val="left"/>
        <w:outlineLvl w:val="1"/>
        <w:rPr>
          <w:rFonts w:ascii="仿宋" w:hAnsi="仿宋" w:eastAsia="仿宋" w:cs="宋体"/>
          <w:b/>
          <w:bCs/>
          <w:kern w:val="0"/>
          <w:sz w:val="32"/>
          <w:szCs w:val="32"/>
        </w:rPr>
      </w:pPr>
    </w:p>
    <w:tbl>
      <w:tblPr>
        <w:tblStyle w:val="8"/>
        <w:tblW w:w="0" w:type="auto"/>
        <w:tblInd w:w="0" w:type="dxa"/>
        <w:tblLayout w:type="fixed"/>
        <w:tblCellMar>
          <w:top w:w="15" w:type="dxa"/>
          <w:left w:w="15" w:type="dxa"/>
          <w:bottom w:w="15" w:type="dxa"/>
          <w:right w:w="15" w:type="dxa"/>
        </w:tblCellMar>
      </w:tblPr>
      <w:tblGrid>
        <w:gridCol w:w="1132"/>
        <w:gridCol w:w="2015"/>
        <w:gridCol w:w="2171"/>
        <w:gridCol w:w="1322"/>
        <w:gridCol w:w="1848"/>
      </w:tblGrid>
      <w:tr>
        <w:tblPrEx>
          <w:tblCellMar>
            <w:top w:w="15" w:type="dxa"/>
            <w:left w:w="15" w:type="dxa"/>
            <w:bottom w:w="15" w:type="dxa"/>
            <w:right w:w="15" w:type="dxa"/>
          </w:tblCellMar>
        </w:tblPrEx>
        <w:trPr>
          <w:trHeight w:val="885" w:hRule="atLeast"/>
        </w:trPr>
        <w:tc>
          <w:tcPr>
            <w:tcW w:w="8488" w:type="dxa"/>
            <w:gridSpan w:val="5"/>
            <w:vAlign w:val="center"/>
          </w:tcPr>
          <w:p>
            <w:pPr>
              <w:widowControl/>
              <w:jc w:val="center"/>
              <w:textAlignment w:val="center"/>
              <w:rPr>
                <w:rFonts w:ascii="宋体" w:hAnsi="宋体" w:cs="宋体"/>
                <w:b/>
                <w:color w:val="000000"/>
                <w:sz w:val="40"/>
                <w:szCs w:val="40"/>
              </w:rPr>
            </w:pPr>
            <w:r>
              <w:rPr>
                <w:rFonts w:hint="eastAsia" w:ascii="宋体" w:hAnsi="宋体" w:cs="宋体"/>
                <w:b/>
                <w:color w:val="000000"/>
                <w:kern w:val="0"/>
                <w:sz w:val="28"/>
                <w:szCs w:val="28"/>
              </w:rPr>
              <w:t>2021年吴忠市本级部门项目支出预算绩效目标表</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项目名称</w:t>
            </w:r>
          </w:p>
        </w:tc>
        <w:tc>
          <w:tcPr>
            <w:tcW w:w="5341"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0"/>
              </w:rPr>
            </w:pPr>
            <w:r>
              <w:rPr>
                <w:rFonts w:hint="eastAsia" w:ascii="宋体" w:hAnsi="宋体" w:cs="宋体"/>
                <w:color w:val="000000"/>
                <w:sz w:val="20"/>
              </w:rPr>
              <w:t>空气自动站运行维护经费</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主管部门</w:t>
            </w:r>
          </w:p>
        </w:tc>
        <w:tc>
          <w:tcPr>
            <w:tcW w:w="21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吴忠市生态环境局</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实施单位</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吴忠市生态环境监测站</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项目属性</w:t>
            </w:r>
          </w:p>
        </w:tc>
        <w:tc>
          <w:tcPr>
            <w:tcW w:w="21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一年期项目</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项目期</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2021年-2021年</w:t>
            </w:r>
          </w:p>
        </w:tc>
      </w:tr>
      <w:tr>
        <w:tblPrEx>
          <w:tblCellMar>
            <w:top w:w="15" w:type="dxa"/>
            <w:left w:w="15" w:type="dxa"/>
            <w:bottom w:w="15" w:type="dxa"/>
            <w:right w:w="15" w:type="dxa"/>
          </w:tblCellMar>
        </w:tblPrEx>
        <w:trPr>
          <w:trHeight w:val="450" w:hRule="atLeast"/>
        </w:trPr>
        <w:tc>
          <w:tcPr>
            <w:tcW w:w="314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项目资金</w:t>
            </w:r>
            <w:r>
              <w:rPr>
                <w:rFonts w:hint="eastAsia" w:ascii="宋体" w:hAnsi="宋体" w:cs="宋体"/>
                <w:b/>
                <w:color w:val="000000"/>
                <w:kern w:val="0"/>
                <w:sz w:val="20"/>
              </w:rPr>
              <w:br w:type="textWrapping"/>
            </w:r>
            <w:r>
              <w:rPr>
                <w:rFonts w:hint="eastAsia" w:ascii="宋体" w:hAnsi="宋体" w:cs="宋体"/>
                <w:b/>
                <w:color w:val="000000"/>
                <w:kern w:val="0"/>
                <w:sz w:val="20"/>
              </w:rPr>
              <w:t>（万元）</w:t>
            </w: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年度资金总额</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10</w:t>
            </w: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其中：财政拨款</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10</w:t>
            </w: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xml:space="preserve">                   结余结转</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其他资金</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p>
        </w:tc>
      </w:tr>
      <w:tr>
        <w:tblPrEx>
          <w:tblCellMar>
            <w:top w:w="15" w:type="dxa"/>
            <w:left w:w="15" w:type="dxa"/>
            <w:bottom w:w="15" w:type="dxa"/>
            <w:right w:w="15" w:type="dxa"/>
          </w:tblCellMar>
        </w:tblPrEx>
        <w:trPr>
          <w:trHeight w:val="147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绩效目标</w:t>
            </w:r>
          </w:p>
        </w:tc>
        <w:tc>
          <w:tcPr>
            <w:tcW w:w="735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rPr>
            </w:pPr>
            <w:r>
              <w:rPr>
                <w:rFonts w:hint="eastAsia" w:ascii="宋体" w:hAnsi="宋体" w:cs="宋体"/>
                <w:color w:val="000000"/>
                <w:sz w:val="20"/>
              </w:rPr>
              <w:t>保障3个国控空气自动站正常运行</w:t>
            </w:r>
          </w:p>
        </w:tc>
      </w:tr>
      <w:tr>
        <w:tblPrEx>
          <w:tblCellMar>
            <w:top w:w="15" w:type="dxa"/>
            <w:left w:w="15" w:type="dxa"/>
            <w:bottom w:w="15" w:type="dxa"/>
            <w:right w:w="15" w:type="dxa"/>
          </w:tblCellMar>
        </w:tblPrEx>
        <w:trPr>
          <w:trHeight w:val="45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r>
      <w:tr>
        <w:tblPrEx>
          <w:tblCellMar>
            <w:top w:w="15" w:type="dxa"/>
            <w:left w:w="15" w:type="dxa"/>
            <w:bottom w:w="15" w:type="dxa"/>
            <w:right w:w="15" w:type="dxa"/>
          </w:tblCellMar>
        </w:tblPrEx>
        <w:trPr>
          <w:trHeight w:val="450"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1、产出指标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数量指标（必填硬性指标）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3个国控空气自动站</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3个站点</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保障自动站周边环境清洁，不产生二次污染</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监测环境无污染</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每天定时打扫，保证环境清洁</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1年</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成本指标（必填硬性指标）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卫生清扫的费用及站房全年租金</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10万</w:t>
            </w:r>
          </w:p>
        </w:tc>
      </w:tr>
      <w:tr>
        <w:tblPrEx>
          <w:tblCellMar>
            <w:top w:w="15" w:type="dxa"/>
            <w:left w:w="15" w:type="dxa"/>
            <w:bottom w:w="15" w:type="dxa"/>
            <w:right w:w="15" w:type="dxa"/>
          </w:tblCellMar>
        </w:tblPrEx>
        <w:trPr>
          <w:trHeight w:val="450"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2、效益指标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确保环境监测数据的真实性</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数据真实有效</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经济效益指标（选填）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为环境持续改善提供重要依据和数据保障</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环境持续改善</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生态效益指标（选填）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r>
      <w:tr>
        <w:tblPrEx>
          <w:tblCellMar>
            <w:top w:w="15" w:type="dxa"/>
            <w:left w:w="15" w:type="dxa"/>
            <w:bottom w:w="15" w:type="dxa"/>
            <w:right w:w="15" w:type="dxa"/>
          </w:tblCellMar>
        </w:tblPrEx>
        <w:trPr>
          <w:trHeight w:val="45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3、满意度指标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社会满意度达到90%</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100%</w:t>
            </w:r>
          </w:p>
        </w:tc>
      </w:tr>
    </w:tbl>
    <w:p>
      <w:pPr>
        <w:widowControl/>
        <w:ind w:left="1285" w:hanging="1285" w:hangingChars="400"/>
        <w:jc w:val="left"/>
        <w:outlineLvl w:val="1"/>
        <w:rPr>
          <w:rFonts w:ascii="仿宋" w:hAnsi="仿宋" w:eastAsia="仿宋" w:cs="宋体"/>
          <w:b/>
          <w:bCs/>
          <w:kern w:val="0"/>
          <w:sz w:val="32"/>
          <w:szCs w:val="32"/>
        </w:rPr>
      </w:pPr>
    </w:p>
    <w:p>
      <w:pPr>
        <w:widowControl/>
        <w:ind w:left="1285" w:hanging="1285" w:hangingChars="400"/>
        <w:jc w:val="left"/>
        <w:outlineLvl w:val="1"/>
        <w:rPr>
          <w:rFonts w:ascii="仿宋" w:hAnsi="仿宋" w:eastAsia="仿宋" w:cs="宋体"/>
          <w:b/>
          <w:bCs/>
          <w:kern w:val="0"/>
          <w:sz w:val="32"/>
          <w:szCs w:val="32"/>
        </w:rPr>
      </w:pPr>
    </w:p>
    <w:p>
      <w:pPr>
        <w:widowControl/>
        <w:ind w:left="1285" w:hanging="1285" w:hangingChars="400"/>
        <w:jc w:val="left"/>
        <w:outlineLvl w:val="1"/>
        <w:rPr>
          <w:rFonts w:ascii="仿宋" w:hAnsi="仿宋" w:eastAsia="仿宋" w:cs="宋体"/>
          <w:b/>
          <w:bCs/>
          <w:kern w:val="0"/>
          <w:sz w:val="32"/>
          <w:szCs w:val="32"/>
        </w:rPr>
      </w:pPr>
    </w:p>
    <w:tbl>
      <w:tblPr>
        <w:tblStyle w:val="8"/>
        <w:tblW w:w="0" w:type="auto"/>
        <w:tblInd w:w="0" w:type="dxa"/>
        <w:tblLayout w:type="fixed"/>
        <w:tblCellMar>
          <w:top w:w="15" w:type="dxa"/>
          <w:left w:w="15" w:type="dxa"/>
          <w:bottom w:w="15" w:type="dxa"/>
          <w:right w:w="15" w:type="dxa"/>
        </w:tblCellMar>
      </w:tblPr>
      <w:tblGrid>
        <w:gridCol w:w="1132"/>
        <w:gridCol w:w="2015"/>
        <w:gridCol w:w="2171"/>
        <w:gridCol w:w="1322"/>
        <w:gridCol w:w="1848"/>
      </w:tblGrid>
      <w:tr>
        <w:tblPrEx>
          <w:tblCellMar>
            <w:top w:w="15" w:type="dxa"/>
            <w:left w:w="15" w:type="dxa"/>
            <w:bottom w:w="15" w:type="dxa"/>
            <w:right w:w="15" w:type="dxa"/>
          </w:tblCellMar>
        </w:tblPrEx>
        <w:trPr>
          <w:trHeight w:val="885" w:hRule="atLeast"/>
        </w:trPr>
        <w:tc>
          <w:tcPr>
            <w:tcW w:w="8488" w:type="dxa"/>
            <w:gridSpan w:val="5"/>
            <w:vAlign w:val="center"/>
          </w:tcPr>
          <w:p>
            <w:pPr>
              <w:widowControl/>
              <w:jc w:val="center"/>
              <w:textAlignment w:val="center"/>
              <w:rPr>
                <w:rFonts w:ascii="宋体" w:hAnsi="宋体" w:cs="宋体"/>
                <w:b/>
                <w:color w:val="000000"/>
                <w:sz w:val="40"/>
                <w:szCs w:val="40"/>
              </w:rPr>
            </w:pPr>
            <w:r>
              <w:rPr>
                <w:rFonts w:hint="eastAsia" w:ascii="宋体" w:hAnsi="宋体" w:cs="宋体"/>
                <w:b/>
                <w:color w:val="000000"/>
                <w:kern w:val="0"/>
                <w:sz w:val="28"/>
                <w:szCs w:val="28"/>
              </w:rPr>
              <w:t>2021年吴忠市本级部门项目支出预算绩效目标表</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项目名称</w:t>
            </w:r>
          </w:p>
        </w:tc>
        <w:tc>
          <w:tcPr>
            <w:tcW w:w="5341"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0"/>
              </w:rPr>
            </w:pPr>
            <w:r>
              <w:rPr>
                <w:rFonts w:hint="eastAsia" w:ascii="宋体" w:hAnsi="宋体" w:cs="宋体"/>
                <w:color w:val="000000"/>
                <w:sz w:val="20"/>
              </w:rPr>
              <w:t>区域噪声及降尘监测经费</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主管部门</w:t>
            </w:r>
          </w:p>
        </w:tc>
        <w:tc>
          <w:tcPr>
            <w:tcW w:w="21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吴忠市生态环境局</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实施单位</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吴忠市生态环境监测站</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项目属性</w:t>
            </w:r>
          </w:p>
        </w:tc>
        <w:tc>
          <w:tcPr>
            <w:tcW w:w="21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一年期项目</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项目期</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2021年-2021年</w:t>
            </w:r>
          </w:p>
        </w:tc>
      </w:tr>
      <w:tr>
        <w:tblPrEx>
          <w:tblCellMar>
            <w:top w:w="15" w:type="dxa"/>
            <w:left w:w="15" w:type="dxa"/>
            <w:bottom w:w="15" w:type="dxa"/>
            <w:right w:w="15" w:type="dxa"/>
          </w:tblCellMar>
        </w:tblPrEx>
        <w:trPr>
          <w:trHeight w:val="450" w:hRule="atLeast"/>
        </w:trPr>
        <w:tc>
          <w:tcPr>
            <w:tcW w:w="314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项目资金</w:t>
            </w:r>
            <w:r>
              <w:rPr>
                <w:rFonts w:hint="eastAsia" w:ascii="宋体" w:hAnsi="宋体" w:cs="宋体"/>
                <w:b/>
                <w:color w:val="000000"/>
                <w:kern w:val="0"/>
                <w:sz w:val="20"/>
              </w:rPr>
              <w:br w:type="textWrapping"/>
            </w:r>
            <w:r>
              <w:rPr>
                <w:rFonts w:hint="eastAsia" w:ascii="宋体" w:hAnsi="宋体" w:cs="宋体"/>
                <w:b/>
                <w:color w:val="000000"/>
                <w:kern w:val="0"/>
                <w:sz w:val="20"/>
              </w:rPr>
              <w:t>（万元）</w:t>
            </w: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年度资金总额</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5</w:t>
            </w: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其中：财政拨款</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5</w:t>
            </w: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xml:space="preserve">                   结余结转</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其他资金</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p>
        </w:tc>
      </w:tr>
      <w:tr>
        <w:tblPrEx>
          <w:tblCellMar>
            <w:top w:w="15" w:type="dxa"/>
            <w:left w:w="15" w:type="dxa"/>
            <w:bottom w:w="15" w:type="dxa"/>
            <w:right w:w="15" w:type="dxa"/>
          </w:tblCellMar>
        </w:tblPrEx>
        <w:trPr>
          <w:trHeight w:val="147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绩效目标</w:t>
            </w:r>
          </w:p>
        </w:tc>
        <w:tc>
          <w:tcPr>
            <w:tcW w:w="735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rPr>
            </w:pPr>
            <w:r>
              <w:rPr>
                <w:rFonts w:hint="eastAsia" w:ascii="宋体" w:hAnsi="宋体" w:cs="宋体"/>
                <w:color w:val="000000"/>
                <w:sz w:val="20"/>
              </w:rPr>
              <w:t>保障3个降尘点位，156个噪声监测点位正常监测</w:t>
            </w:r>
          </w:p>
        </w:tc>
      </w:tr>
      <w:tr>
        <w:tblPrEx>
          <w:tblCellMar>
            <w:top w:w="15" w:type="dxa"/>
            <w:left w:w="15" w:type="dxa"/>
            <w:bottom w:w="15" w:type="dxa"/>
            <w:right w:w="15" w:type="dxa"/>
          </w:tblCellMar>
        </w:tblPrEx>
        <w:trPr>
          <w:trHeight w:val="45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r>
      <w:tr>
        <w:tblPrEx>
          <w:tblCellMar>
            <w:top w:w="15" w:type="dxa"/>
            <w:left w:w="15" w:type="dxa"/>
            <w:bottom w:w="15" w:type="dxa"/>
            <w:right w:w="15" w:type="dxa"/>
          </w:tblCellMar>
        </w:tblPrEx>
        <w:trPr>
          <w:trHeight w:val="450"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1、产出指标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数量指标（必填硬性指标）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3个降尘点位，156个噪声监测点位</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159个点位</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依据监测技术规范进行监测</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数据及时上报</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降尘每月一次，噪声半年一次</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1年</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成本指标（必填硬性指标）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依据监测项目测算所需试剂和耗材</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5万</w:t>
            </w:r>
          </w:p>
        </w:tc>
      </w:tr>
      <w:tr>
        <w:tblPrEx>
          <w:tblCellMar>
            <w:top w:w="15" w:type="dxa"/>
            <w:left w:w="15" w:type="dxa"/>
            <w:bottom w:w="15" w:type="dxa"/>
            <w:right w:w="15" w:type="dxa"/>
          </w:tblCellMar>
        </w:tblPrEx>
        <w:trPr>
          <w:trHeight w:val="450"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2、效益指标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为环境管理和环境执法提供监测数据</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保障监测数据及时准确</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经济效益指标（选填）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为环境持续改善提供重要依据</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环境持续改善</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生态效益指标（选填）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r>
      <w:tr>
        <w:tblPrEx>
          <w:tblCellMar>
            <w:top w:w="15" w:type="dxa"/>
            <w:left w:w="15" w:type="dxa"/>
            <w:bottom w:w="15" w:type="dxa"/>
            <w:right w:w="15" w:type="dxa"/>
          </w:tblCellMar>
        </w:tblPrEx>
        <w:trPr>
          <w:trHeight w:val="45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3、满意度指标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社会满意度达到95%</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100%</w:t>
            </w:r>
          </w:p>
        </w:tc>
      </w:tr>
    </w:tbl>
    <w:p>
      <w:pPr>
        <w:widowControl/>
        <w:ind w:left="1285" w:hanging="1285" w:hangingChars="400"/>
        <w:jc w:val="left"/>
        <w:outlineLvl w:val="1"/>
        <w:rPr>
          <w:rFonts w:ascii="仿宋" w:hAnsi="仿宋" w:eastAsia="仿宋" w:cs="宋体"/>
          <w:b/>
          <w:bCs/>
          <w:kern w:val="0"/>
          <w:sz w:val="32"/>
          <w:szCs w:val="32"/>
        </w:rPr>
      </w:pPr>
    </w:p>
    <w:p>
      <w:pPr>
        <w:widowControl/>
        <w:ind w:left="1285" w:hanging="1285" w:hangingChars="400"/>
        <w:jc w:val="left"/>
        <w:outlineLvl w:val="1"/>
        <w:rPr>
          <w:rFonts w:ascii="仿宋" w:hAnsi="仿宋" w:eastAsia="仿宋" w:cs="宋体"/>
          <w:b/>
          <w:bCs/>
          <w:kern w:val="0"/>
          <w:sz w:val="32"/>
          <w:szCs w:val="32"/>
        </w:rPr>
      </w:pPr>
    </w:p>
    <w:p>
      <w:pPr>
        <w:widowControl/>
        <w:ind w:left="1285" w:hanging="1285" w:hangingChars="400"/>
        <w:jc w:val="left"/>
        <w:outlineLvl w:val="1"/>
        <w:rPr>
          <w:rFonts w:ascii="仿宋" w:hAnsi="仿宋" w:eastAsia="仿宋" w:cs="宋体"/>
          <w:b/>
          <w:bCs/>
          <w:kern w:val="0"/>
          <w:sz w:val="32"/>
          <w:szCs w:val="32"/>
        </w:rPr>
      </w:pPr>
    </w:p>
    <w:tbl>
      <w:tblPr>
        <w:tblStyle w:val="8"/>
        <w:tblW w:w="0" w:type="auto"/>
        <w:tblInd w:w="0" w:type="dxa"/>
        <w:tblLayout w:type="fixed"/>
        <w:tblCellMar>
          <w:top w:w="15" w:type="dxa"/>
          <w:left w:w="15" w:type="dxa"/>
          <w:bottom w:w="15" w:type="dxa"/>
          <w:right w:w="15" w:type="dxa"/>
        </w:tblCellMar>
      </w:tblPr>
      <w:tblGrid>
        <w:gridCol w:w="1132"/>
        <w:gridCol w:w="2015"/>
        <w:gridCol w:w="2171"/>
        <w:gridCol w:w="1322"/>
        <w:gridCol w:w="1848"/>
      </w:tblGrid>
      <w:tr>
        <w:tblPrEx>
          <w:tblCellMar>
            <w:top w:w="15" w:type="dxa"/>
            <w:left w:w="15" w:type="dxa"/>
            <w:bottom w:w="15" w:type="dxa"/>
            <w:right w:w="15" w:type="dxa"/>
          </w:tblCellMar>
        </w:tblPrEx>
        <w:trPr>
          <w:trHeight w:val="885" w:hRule="atLeast"/>
        </w:trPr>
        <w:tc>
          <w:tcPr>
            <w:tcW w:w="8488" w:type="dxa"/>
            <w:gridSpan w:val="5"/>
            <w:vAlign w:val="center"/>
          </w:tcPr>
          <w:p>
            <w:pPr>
              <w:widowControl/>
              <w:jc w:val="center"/>
              <w:textAlignment w:val="center"/>
              <w:rPr>
                <w:rFonts w:ascii="宋体" w:hAnsi="宋体" w:cs="宋体"/>
                <w:b/>
                <w:color w:val="000000"/>
                <w:sz w:val="40"/>
                <w:szCs w:val="40"/>
              </w:rPr>
            </w:pPr>
            <w:r>
              <w:rPr>
                <w:rFonts w:hint="eastAsia" w:ascii="宋体" w:hAnsi="宋体" w:cs="宋体"/>
                <w:b/>
                <w:color w:val="000000"/>
                <w:kern w:val="0"/>
                <w:sz w:val="28"/>
                <w:szCs w:val="28"/>
              </w:rPr>
              <w:t>2021年吴忠市本级部门项目支出预算绩效目标表</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项目名称</w:t>
            </w:r>
          </w:p>
        </w:tc>
        <w:tc>
          <w:tcPr>
            <w:tcW w:w="5341"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0"/>
              </w:rPr>
            </w:pPr>
            <w:r>
              <w:rPr>
                <w:rFonts w:hint="eastAsia" w:ascii="宋体" w:hAnsi="宋体" w:cs="宋体"/>
                <w:color w:val="000000"/>
                <w:sz w:val="20"/>
              </w:rPr>
              <w:t>实验室仪器采购与维护经费</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主管部门</w:t>
            </w:r>
          </w:p>
        </w:tc>
        <w:tc>
          <w:tcPr>
            <w:tcW w:w="21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吴忠市生态环境局</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实施单位</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吴忠市生态环境监测站</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项目属性</w:t>
            </w:r>
          </w:p>
        </w:tc>
        <w:tc>
          <w:tcPr>
            <w:tcW w:w="21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一年期项目</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项目期</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2021年-2021年</w:t>
            </w:r>
          </w:p>
        </w:tc>
      </w:tr>
      <w:tr>
        <w:tblPrEx>
          <w:tblCellMar>
            <w:top w:w="15" w:type="dxa"/>
            <w:left w:w="15" w:type="dxa"/>
            <w:bottom w:w="15" w:type="dxa"/>
            <w:right w:w="15" w:type="dxa"/>
          </w:tblCellMar>
        </w:tblPrEx>
        <w:trPr>
          <w:trHeight w:val="450" w:hRule="atLeast"/>
        </w:trPr>
        <w:tc>
          <w:tcPr>
            <w:tcW w:w="314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项目资金</w:t>
            </w:r>
            <w:r>
              <w:rPr>
                <w:rFonts w:hint="eastAsia" w:ascii="宋体" w:hAnsi="宋体" w:cs="宋体"/>
                <w:b/>
                <w:color w:val="000000"/>
                <w:kern w:val="0"/>
                <w:sz w:val="20"/>
              </w:rPr>
              <w:br w:type="textWrapping"/>
            </w:r>
            <w:r>
              <w:rPr>
                <w:rFonts w:hint="eastAsia" w:ascii="宋体" w:hAnsi="宋体" w:cs="宋体"/>
                <w:b/>
                <w:color w:val="000000"/>
                <w:kern w:val="0"/>
                <w:sz w:val="20"/>
              </w:rPr>
              <w:t>（万元）</w:t>
            </w: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年度资金总额</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10</w:t>
            </w: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其中：财政拨款</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10</w:t>
            </w: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xml:space="preserve">                   结余结转</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其他资金</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p>
        </w:tc>
      </w:tr>
      <w:tr>
        <w:tblPrEx>
          <w:tblCellMar>
            <w:top w:w="15" w:type="dxa"/>
            <w:left w:w="15" w:type="dxa"/>
            <w:bottom w:w="15" w:type="dxa"/>
            <w:right w:w="15" w:type="dxa"/>
          </w:tblCellMar>
        </w:tblPrEx>
        <w:trPr>
          <w:trHeight w:val="147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绩效目标</w:t>
            </w:r>
          </w:p>
        </w:tc>
        <w:tc>
          <w:tcPr>
            <w:tcW w:w="735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rPr>
            </w:pPr>
            <w:r>
              <w:rPr>
                <w:rFonts w:hint="eastAsia" w:ascii="宋体" w:hAnsi="宋体" w:cs="宋体"/>
                <w:color w:val="000000"/>
                <w:sz w:val="20"/>
              </w:rPr>
              <w:t>常用设备216台、大型设备15台正常运行</w:t>
            </w:r>
          </w:p>
        </w:tc>
      </w:tr>
      <w:tr>
        <w:tblPrEx>
          <w:tblCellMar>
            <w:top w:w="15" w:type="dxa"/>
            <w:left w:w="15" w:type="dxa"/>
            <w:bottom w:w="15" w:type="dxa"/>
            <w:right w:w="15" w:type="dxa"/>
          </w:tblCellMar>
        </w:tblPrEx>
        <w:trPr>
          <w:trHeight w:val="45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r>
      <w:tr>
        <w:tblPrEx>
          <w:tblCellMar>
            <w:top w:w="15" w:type="dxa"/>
            <w:left w:w="15" w:type="dxa"/>
            <w:bottom w:w="15" w:type="dxa"/>
            <w:right w:w="15" w:type="dxa"/>
          </w:tblCellMar>
        </w:tblPrEx>
        <w:trPr>
          <w:trHeight w:val="450"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1、产出指标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数量指标（必填硬性指标）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常用设备216台、大型设备15台</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设备全覆盖</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保障实验过程数据的有效性和真实性，满足监测技术规范要求</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设备正常运行</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达到检定年限及时复检，确保仪器正常使用</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1年</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成本指标（必填硬性指标）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所需检定费用、仪器耗材、监测试剂</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10万</w:t>
            </w:r>
          </w:p>
        </w:tc>
      </w:tr>
      <w:tr>
        <w:tblPrEx>
          <w:tblCellMar>
            <w:top w:w="15" w:type="dxa"/>
            <w:left w:w="15" w:type="dxa"/>
            <w:bottom w:w="15" w:type="dxa"/>
            <w:right w:w="15" w:type="dxa"/>
          </w:tblCellMar>
        </w:tblPrEx>
        <w:trPr>
          <w:trHeight w:val="450"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2、效益指标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保障监测数据的真实性、有效性，为环境执法提供数据支持</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监测数据真实性</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经济效益指标（选填）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为环境质量监测提供重要依据</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生态立市保障</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生态效益指标（选填）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r>
      <w:tr>
        <w:tblPrEx>
          <w:tblCellMar>
            <w:top w:w="15" w:type="dxa"/>
            <w:left w:w="15" w:type="dxa"/>
            <w:bottom w:w="15" w:type="dxa"/>
            <w:right w:w="15" w:type="dxa"/>
          </w:tblCellMar>
        </w:tblPrEx>
        <w:trPr>
          <w:trHeight w:val="45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3、满意度指标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社会公众满意度达到90%</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90%</w:t>
            </w:r>
          </w:p>
        </w:tc>
      </w:tr>
    </w:tbl>
    <w:p>
      <w:pPr>
        <w:widowControl/>
        <w:ind w:left="1285" w:hanging="1285" w:hangingChars="400"/>
        <w:jc w:val="left"/>
        <w:outlineLvl w:val="1"/>
        <w:rPr>
          <w:rFonts w:ascii="仿宋" w:hAnsi="仿宋" w:eastAsia="仿宋" w:cs="宋体"/>
          <w:b/>
          <w:bCs/>
          <w:kern w:val="0"/>
          <w:sz w:val="32"/>
          <w:szCs w:val="32"/>
        </w:rPr>
      </w:pPr>
    </w:p>
    <w:p>
      <w:pPr>
        <w:widowControl/>
        <w:ind w:left="1285" w:hanging="1285" w:hangingChars="400"/>
        <w:jc w:val="left"/>
        <w:outlineLvl w:val="1"/>
        <w:rPr>
          <w:rFonts w:ascii="仿宋" w:hAnsi="仿宋" w:eastAsia="仿宋" w:cs="宋体"/>
          <w:b/>
          <w:bCs/>
          <w:kern w:val="0"/>
          <w:sz w:val="32"/>
          <w:szCs w:val="32"/>
        </w:rPr>
      </w:pPr>
    </w:p>
    <w:p>
      <w:pPr>
        <w:widowControl/>
        <w:ind w:left="1285" w:hanging="1285" w:hangingChars="400"/>
        <w:jc w:val="left"/>
        <w:outlineLvl w:val="1"/>
        <w:rPr>
          <w:rFonts w:ascii="仿宋" w:hAnsi="仿宋" w:eastAsia="仿宋" w:cs="宋体"/>
          <w:b/>
          <w:bCs/>
          <w:kern w:val="0"/>
          <w:sz w:val="32"/>
          <w:szCs w:val="32"/>
        </w:rPr>
      </w:pPr>
    </w:p>
    <w:tbl>
      <w:tblPr>
        <w:tblStyle w:val="8"/>
        <w:tblW w:w="0" w:type="auto"/>
        <w:tblInd w:w="0" w:type="dxa"/>
        <w:tblLayout w:type="fixed"/>
        <w:tblCellMar>
          <w:top w:w="15" w:type="dxa"/>
          <w:left w:w="15" w:type="dxa"/>
          <w:bottom w:w="15" w:type="dxa"/>
          <w:right w:w="15" w:type="dxa"/>
        </w:tblCellMar>
      </w:tblPr>
      <w:tblGrid>
        <w:gridCol w:w="1132"/>
        <w:gridCol w:w="2015"/>
        <w:gridCol w:w="2171"/>
        <w:gridCol w:w="1322"/>
        <w:gridCol w:w="1848"/>
      </w:tblGrid>
      <w:tr>
        <w:tblPrEx>
          <w:tblCellMar>
            <w:top w:w="15" w:type="dxa"/>
            <w:left w:w="15" w:type="dxa"/>
            <w:bottom w:w="15" w:type="dxa"/>
            <w:right w:w="15" w:type="dxa"/>
          </w:tblCellMar>
        </w:tblPrEx>
        <w:trPr>
          <w:trHeight w:val="885" w:hRule="atLeast"/>
        </w:trPr>
        <w:tc>
          <w:tcPr>
            <w:tcW w:w="8488" w:type="dxa"/>
            <w:gridSpan w:val="5"/>
            <w:vAlign w:val="center"/>
          </w:tcPr>
          <w:p>
            <w:pPr>
              <w:widowControl/>
              <w:jc w:val="center"/>
              <w:textAlignment w:val="center"/>
              <w:rPr>
                <w:rFonts w:ascii="宋体" w:hAnsi="宋体" w:cs="宋体"/>
                <w:b/>
                <w:color w:val="000000"/>
                <w:sz w:val="40"/>
                <w:szCs w:val="40"/>
              </w:rPr>
            </w:pPr>
            <w:r>
              <w:rPr>
                <w:rFonts w:hint="eastAsia" w:ascii="宋体" w:hAnsi="宋体" w:cs="宋体"/>
                <w:b/>
                <w:color w:val="000000"/>
                <w:kern w:val="0"/>
                <w:sz w:val="28"/>
                <w:szCs w:val="28"/>
              </w:rPr>
              <w:t>2021年吴忠市本级部门项目支出预算绩效目标表</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项目名称</w:t>
            </w:r>
          </w:p>
        </w:tc>
        <w:tc>
          <w:tcPr>
            <w:tcW w:w="5341"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0"/>
              </w:rPr>
            </w:pPr>
            <w:r>
              <w:rPr>
                <w:rFonts w:hint="eastAsia" w:ascii="宋体" w:hAnsi="宋体" w:cs="宋体"/>
                <w:color w:val="000000"/>
                <w:sz w:val="20"/>
              </w:rPr>
              <w:t>水源水质自动监测经费</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主管部门</w:t>
            </w:r>
          </w:p>
        </w:tc>
        <w:tc>
          <w:tcPr>
            <w:tcW w:w="21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吴忠市生态环境局</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实施单位</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吴忠市生态环境监测站</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项目属性</w:t>
            </w:r>
          </w:p>
        </w:tc>
        <w:tc>
          <w:tcPr>
            <w:tcW w:w="21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一年期项目</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项目期</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2021年-2021年</w:t>
            </w:r>
          </w:p>
        </w:tc>
      </w:tr>
      <w:tr>
        <w:tblPrEx>
          <w:tblCellMar>
            <w:top w:w="15" w:type="dxa"/>
            <w:left w:w="15" w:type="dxa"/>
            <w:bottom w:w="15" w:type="dxa"/>
            <w:right w:w="15" w:type="dxa"/>
          </w:tblCellMar>
        </w:tblPrEx>
        <w:trPr>
          <w:trHeight w:val="450" w:hRule="atLeast"/>
        </w:trPr>
        <w:tc>
          <w:tcPr>
            <w:tcW w:w="314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项目资金</w:t>
            </w:r>
            <w:r>
              <w:rPr>
                <w:rFonts w:hint="eastAsia" w:ascii="宋体" w:hAnsi="宋体" w:cs="宋体"/>
                <w:b/>
                <w:color w:val="000000"/>
                <w:kern w:val="0"/>
                <w:sz w:val="20"/>
              </w:rPr>
              <w:br w:type="textWrapping"/>
            </w:r>
            <w:r>
              <w:rPr>
                <w:rFonts w:hint="eastAsia" w:ascii="宋体" w:hAnsi="宋体" w:cs="宋体"/>
                <w:b/>
                <w:color w:val="000000"/>
                <w:kern w:val="0"/>
                <w:sz w:val="20"/>
              </w:rPr>
              <w:t>（万元）</w:t>
            </w: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年度资金总额</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10</w:t>
            </w: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其中：财政拨款</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10</w:t>
            </w: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xml:space="preserve">                   结余结转</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其他资金</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p>
        </w:tc>
      </w:tr>
      <w:tr>
        <w:tblPrEx>
          <w:tblCellMar>
            <w:top w:w="15" w:type="dxa"/>
            <w:left w:w="15" w:type="dxa"/>
            <w:bottom w:w="15" w:type="dxa"/>
            <w:right w:w="15" w:type="dxa"/>
          </w:tblCellMar>
        </w:tblPrEx>
        <w:trPr>
          <w:trHeight w:val="147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绩效目标</w:t>
            </w:r>
          </w:p>
        </w:tc>
        <w:tc>
          <w:tcPr>
            <w:tcW w:w="735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rPr>
            </w:pPr>
            <w:r>
              <w:rPr>
                <w:rFonts w:hint="eastAsia" w:ascii="宋体" w:hAnsi="宋体" w:cs="宋体"/>
                <w:color w:val="000000"/>
                <w:sz w:val="20"/>
              </w:rPr>
              <w:t>保障2个水源地自动监测点实时监测</w:t>
            </w:r>
          </w:p>
        </w:tc>
      </w:tr>
      <w:tr>
        <w:tblPrEx>
          <w:tblCellMar>
            <w:top w:w="15" w:type="dxa"/>
            <w:left w:w="15" w:type="dxa"/>
            <w:bottom w:w="15" w:type="dxa"/>
            <w:right w:w="15" w:type="dxa"/>
          </w:tblCellMar>
        </w:tblPrEx>
        <w:trPr>
          <w:trHeight w:val="45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r>
      <w:tr>
        <w:tblPrEx>
          <w:tblCellMar>
            <w:top w:w="15" w:type="dxa"/>
            <w:left w:w="15" w:type="dxa"/>
            <w:bottom w:w="15" w:type="dxa"/>
            <w:right w:w="15" w:type="dxa"/>
          </w:tblCellMar>
        </w:tblPrEx>
        <w:trPr>
          <w:trHeight w:val="450"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1、产出指标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数量指标（必填硬性指标）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2个水源地自动监测点实时监测</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2个站点</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水源地水质符合地下水监测标准</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数据实时上报</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实时监测，监测数据同时上传</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1年</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成本指标（必填硬性指标）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监测所需试剂、耗材及设备维护</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10万</w:t>
            </w:r>
          </w:p>
        </w:tc>
      </w:tr>
      <w:tr>
        <w:tblPrEx>
          <w:tblCellMar>
            <w:top w:w="15" w:type="dxa"/>
            <w:left w:w="15" w:type="dxa"/>
            <w:bottom w:w="15" w:type="dxa"/>
            <w:right w:w="15" w:type="dxa"/>
          </w:tblCellMar>
        </w:tblPrEx>
        <w:trPr>
          <w:trHeight w:val="450"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2、效益指标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实时监控水源水质变化，确保水源地水质安全</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保障用水安全</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经济效益指标（选填）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为环境持续改善提供重要依据</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水质达标</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生态效益指标（选填）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r>
      <w:tr>
        <w:tblPrEx>
          <w:tblCellMar>
            <w:top w:w="15" w:type="dxa"/>
            <w:left w:w="15" w:type="dxa"/>
            <w:bottom w:w="15" w:type="dxa"/>
            <w:right w:w="15" w:type="dxa"/>
          </w:tblCellMar>
        </w:tblPrEx>
        <w:trPr>
          <w:trHeight w:val="45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3、满意度指标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社会公众满意度达到90%</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90%</w:t>
            </w:r>
          </w:p>
        </w:tc>
      </w:tr>
    </w:tbl>
    <w:p>
      <w:pPr>
        <w:widowControl/>
        <w:ind w:left="1285" w:hanging="1285" w:hangingChars="400"/>
        <w:jc w:val="left"/>
        <w:outlineLvl w:val="1"/>
        <w:rPr>
          <w:rFonts w:ascii="仿宋" w:hAnsi="仿宋" w:eastAsia="仿宋" w:cs="宋体"/>
          <w:b/>
          <w:bCs/>
          <w:kern w:val="0"/>
          <w:sz w:val="32"/>
          <w:szCs w:val="32"/>
        </w:rPr>
      </w:pPr>
    </w:p>
    <w:p>
      <w:pPr>
        <w:widowControl/>
        <w:ind w:left="1285" w:hanging="1285" w:hangingChars="400"/>
        <w:jc w:val="left"/>
        <w:outlineLvl w:val="1"/>
        <w:rPr>
          <w:rFonts w:ascii="仿宋" w:hAnsi="仿宋" w:eastAsia="仿宋" w:cs="宋体"/>
          <w:b/>
          <w:bCs/>
          <w:kern w:val="0"/>
          <w:sz w:val="32"/>
          <w:szCs w:val="32"/>
        </w:rPr>
      </w:pPr>
    </w:p>
    <w:p>
      <w:pPr>
        <w:widowControl/>
        <w:ind w:left="1446" w:hanging="1446" w:hangingChars="400"/>
        <w:jc w:val="left"/>
        <w:outlineLvl w:val="1"/>
        <w:rPr>
          <w:rFonts w:ascii="仿宋_GB2312" w:hAnsi="宋体" w:eastAsia="仿宋_GB2312"/>
          <w:b/>
          <w:bCs/>
          <w:color w:val="000000"/>
          <w:kern w:val="0"/>
          <w:sz w:val="36"/>
          <w:szCs w:val="36"/>
        </w:rPr>
      </w:pPr>
      <w:r>
        <w:rPr>
          <w:rFonts w:hint="eastAsia" w:ascii="仿宋" w:hAnsi="仿宋" w:eastAsia="仿宋" w:cs="宋体"/>
          <w:b/>
          <w:bCs/>
          <w:kern w:val="0"/>
          <w:sz w:val="36"/>
          <w:szCs w:val="36"/>
        </w:rPr>
        <w:t>吴忠市生态环境保护综合执法支队</w:t>
      </w:r>
      <w:r>
        <w:rPr>
          <w:rFonts w:hint="eastAsia" w:ascii="仿宋_GB2312" w:hAnsi="宋体" w:eastAsia="仿宋_GB2312"/>
          <w:b/>
          <w:bCs/>
          <w:color w:val="000000"/>
          <w:kern w:val="0"/>
          <w:sz w:val="36"/>
          <w:szCs w:val="36"/>
        </w:rPr>
        <w:t>2021年部门预算——2021年部门项目支出预算绩效目标表</w:t>
      </w:r>
    </w:p>
    <w:tbl>
      <w:tblPr>
        <w:tblStyle w:val="8"/>
        <w:tblW w:w="0" w:type="auto"/>
        <w:tblInd w:w="0" w:type="dxa"/>
        <w:tblLayout w:type="fixed"/>
        <w:tblCellMar>
          <w:top w:w="15" w:type="dxa"/>
          <w:left w:w="15" w:type="dxa"/>
          <w:bottom w:w="15" w:type="dxa"/>
          <w:right w:w="15" w:type="dxa"/>
        </w:tblCellMar>
      </w:tblPr>
      <w:tblGrid>
        <w:gridCol w:w="1132"/>
        <w:gridCol w:w="2015"/>
        <w:gridCol w:w="2171"/>
        <w:gridCol w:w="1322"/>
        <w:gridCol w:w="1848"/>
      </w:tblGrid>
      <w:tr>
        <w:tblPrEx>
          <w:tblCellMar>
            <w:top w:w="15" w:type="dxa"/>
            <w:left w:w="15" w:type="dxa"/>
            <w:bottom w:w="15" w:type="dxa"/>
            <w:right w:w="15" w:type="dxa"/>
          </w:tblCellMar>
        </w:tblPrEx>
        <w:trPr>
          <w:trHeight w:val="285" w:hRule="atLeast"/>
        </w:trPr>
        <w:tc>
          <w:tcPr>
            <w:tcW w:w="8488" w:type="dxa"/>
            <w:gridSpan w:val="5"/>
            <w:vAlign w:val="center"/>
          </w:tcPr>
          <w:p>
            <w:pPr>
              <w:widowControl/>
              <w:jc w:val="left"/>
              <w:textAlignment w:val="center"/>
              <w:rPr>
                <w:rFonts w:ascii="黑体" w:hAnsi="宋体" w:eastAsia="黑体" w:cs="黑体"/>
                <w:color w:val="000000"/>
                <w:sz w:val="16"/>
                <w:szCs w:val="16"/>
              </w:rPr>
            </w:pPr>
            <w:r>
              <w:rPr>
                <w:rFonts w:hint="eastAsia" w:ascii="黑体" w:hAnsi="宋体" w:eastAsia="黑体" w:cs="黑体"/>
                <w:color w:val="000000"/>
                <w:kern w:val="0"/>
                <w:sz w:val="16"/>
                <w:szCs w:val="16"/>
              </w:rPr>
              <w:t>附件</w:t>
            </w:r>
          </w:p>
        </w:tc>
      </w:tr>
      <w:tr>
        <w:tblPrEx>
          <w:tblCellMar>
            <w:top w:w="15" w:type="dxa"/>
            <w:left w:w="15" w:type="dxa"/>
            <w:bottom w:w="15" w:type="dxa"/>
            <w:right w:w="15" w:type="dxa"/>
          </w:tblCellMar>
        </w:tblPrEx>
        <w:trPr>
          <w:trHeight w:val="885" w:hRule="atLeast"/>
        </w:trPr>
        <w:tc>
          <w:tcPr>
            <w:tcW w:w="8488" w:type="dxa"/>
            <w:gridSpan w:val="5"/>
            <w:vAlign w:val="center"/>
          </w:tcPr>
          <w:p>
            <w:pPr>
              <w:widowControl/>
              <w:jc w:val="center"/>
              <w:textAlignment w:val="center"/>
              <w:rPr>
                <w:rFonts w:ascii="宋体" w:hAnsi="宋体" w:cs="宋体"/>
                <w:b/>
                <w:color w:val="000000"/>
                <w:sz w:val="40"/>
                <w:szCs w:val="40"/>
              </w:rPr>
            </w:pPr>
            <w:r>
              <w:rPr>
                <w:rFonts w:hint="eastAsia" w:ascii="宋体" w:hAnsi="宋体" w:cs="宋体"/>
                <w:b/>
                <w:color w:val="000000"/>
                <w:kern w:val="0"/>
                <w:sz w:val="28"/>
                <w:szCs w:val="28"/>
              </w:rPr>
              <w:t>2021年吴忠市本级部门项目支出预算绩效目标表</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项目名称</w:t>
            </w:r>
          </w:p>
        </w:tc>
        <w:tc>
          <w:tcPr>
            <w:tcW w:w="5341"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0"/>
              </w:rPr>
            </w:pPr>
            <w:r>
              <w:rPr>
                <w:rFonts w:hint="eastAsia" w:ascii="宋体" w:hAnsi="宋体" w:cs="宋体"/>
                <w:color w:val="000000"/>
                <w:sz w:val="20"/>
              </w:rPr>
              <w:t>城市扬尘巡查工作经费</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主管部门</w:t>
            </w:r>
          </w:p>
        </w:tc>
        <w:tc>
          <w:tcPr>
            <w:tcW w:w="21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吴忠市生态环境局</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实施单位</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吴忠市生态环境保护综合执法支队</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项目属性</w:t>
            </w:r>
          </w:p>
        </w:tc>
        <w:tc>
          <w:tcPr>
            <w:tcW w:w="21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一年期项目</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项目期</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2021年-2021年</w:t>
            </w:r>
          </w:p>
        </w:tc>
      </w:tr>
      <w:tr>
        <w:tblPrEx>
          <w:tblCellMar>
            <w:top w:w="15" w:type="dxa"/>
            <w:left w:w="15" w:type="dxa"/>
            <w:bottom w:w="15" w:type="dxa"/>
            <w:right w:w="15" w:type="dxa"/>
          </w:tblCellMar>
        </w:tblPrEx>
        <w:trPr>
          <w:trHeight w:val="450" w:hRule="atLeast"/>
        </w:trPr>
        <w:tc>
          <w:tcPr>
            <w:tcW w:w="314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项目资金</w:t>
            </w:r>
            <w:r>
              <w:rPr>
                <w:rFonts w:hint="eastAsia" w:ascii="宋体" w:hAnsi="宋体" w:cs="宋体"/>
                <w:b/>
                <w:color w:val="000000"/>
                <w:kern w:val="0"/>
                <w:sz w:val="20"/>
              </w:rPr>
              <w:br w:type="textWrapping"/>
            </w:r>
            <w:r>
              <w:rPr>
                <w:rFonts w:hint="eastAsia" w:ascii="宋体" w:hAnsi="宋体" w:cs="宋体"/>
                <w:b/>
                <w:color w:val="000000"/>
                <w:kern w:val="0"/>
                <w:sz w:val="20"/>
              </w:rPr>
              <w:t>（万元）</w:t>
            </w: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年度资金总额</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ascii="宋体" w:hAnsi="宋体" w:cs="宋体"/>
                <w:color w:val="000000"/>
                <w:sz w:val="20"/>
              </w:rPr>
              <w:t>10</w:t>
            </w: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其中：财政拨款</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ascii="宋体" w:hAnsi="宋体" w:cs="宋体"/>
                <w:color w:val="000000"/>
                <w:sz w:val="20"/>
              </w:rPr>
              <w:t>10</w:t>
            </w: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xml:space="preserve">                   结余结转</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其他资金</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p>
        </w:tc>
      </w:tr>
      <w:tr>
        <w:tblPrEx>
          <w:tblCellMar>
            <w:top w:w="15" w:type="dxa"/>
            <w:left w:w="15" w:type="dxa"/>
            <w:bottom w:w="15" w:type="dxa"/>
            <w:right w:w="15" w:type="dxa"/>
          </w:tblCellMar>
        </w:tblPrEx>
        <w:trPr>
          <w:trHeight w:val="147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绩效目标</w:t>
            </w:r>
          </w:p>
        </w:tc>
        <w:tc>
          <w:tcPr>
            <w:tcW w:w="735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rPr>
            </w:pPr>
            <w:r>
              <w:rPr>
                <w:rFonts w:hint="eastAsia" w:ascii="宋体" w:hAnsi="宋体" w:cs="宋体"/>
                <w:color w:val="000000"/>
                <w:sz w:val="20"/>
              </w:rPr>
              <w:t>根据自治区人民政府关于印发打赢蓝天保卫战三年行动计划的通知》（宁政发【2018】34号和《关于印发吴忠市新闻传媒中心等14个事业单位机构编制方案的通知》（吴编发【2019】48号）文件职能职责要求，2021年1月至2021年12月开展市区建筑扬尘、道路扬尘、工况企业扬尘等巡查监察工作，投入成本费用10万元，年终预算执行率达100%，此项工作开展保证当年城市空气质量优良天数达80%以上。</w:t>
            </w:r>
          </w:p>
        </w:tc>
      </w:tr>
      <w:tr>
        <w:tblPrEx>
          <w:tblCellMar>
            <w:top w:w="15" w:type="dxa"/>
            <w:left w:w="15" w:type="dxa"/>
            <w:bottom w:w="15" w:type="dxa"/>
            <w:right w:w="15" w:type="dxa"/>
          </w:tblCellMar>
        </w:tblPrEx>
        <w:trPr>
          <w:trHeight w:val="45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r>
      <w:tr>
        <w:tblPrEx>
          <w:tblCellMar>
            <w:top w:w="15" w:type="dxa"/>
            <w:left w:w="15" w:type="dxa"/>
            <w:bottom w:w="15" w:type="dxa"/>
            <w:right w:w="15" w:type="dxa"/>
          </w:tblCellMar>
        </w:tblPrEx>
        <w:trPr>
          <w:trHeight w:val="450"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1、产出指标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数量指标（必填硬性指标）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Arial"/>
                <w:color w:val="000000"/>
                <w:sz w:val="18"/>
                <w:szCs w:val="18"/>
              </w:rPr>
            </w:pPr>
            <w:r>
              <w:rPr>
                <w:rFonts w:hint="eastAsia" w:cs="Arial"/>
                <w:color w:val="000000"/>
                <w:sz w:val="18"/>
                <w:szCs w:val="18"/>
              </w:rPr>
              <w:t>工作涵盖范围（平方公里）</w:t>
            </w:r>
          </w:p>
          <w:p>
            <w:pPr>
              <w:jc w:val="left"/>
              <w:rPr>
                <w:rFonts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Arial"/>
                <w:color w:val="000000"/>
                <w:sz w:val="18"/>
                <w:szCs w:val="18"/>
              </w:rPr>
            </w:pPr>
            <w:r>
              <w:rPr>
                <w:rFonts w:hint="eastAsia" w:cs="Arial"/>
                <w:color w:val="000000"/>
                <w:sz w:val="18"/>
                <w:szCs w:val="18"/>
              </w:rPr>
              <w:t>1384</w:t>
            </w:r>
          </w:p>
          <w:p>
            <w:pPr>
              <w:jc w:val="left"/>
              <w:rPr>
                <w:rFonts w:ascii="宋体" w:hAnsi="宋体" w:cs="宋体"/>
                <w:color w:val="000000"/>
                <w:sz w:val="18"/>
                <w:szCs w:val="18"/>
              </w:rPr>
            </w:pP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预算完成率</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100%</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项目完成时限（年）</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1</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成本指标（必填硬性指标）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投入成本费用（万元）</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10</w:t>
            </w:r>
          </w:p>
        </w:tc>
      </w:tr>
      <w:tr>
        <w:tblPrEx>
          <w:tblCellMar>
            <w:top w:w="15" w:type="dxa"/>
            <w:left w:w="15" w:type="dxa"/>
            <w:bottom w:w="15" w:type="dxa"/>
            <w:right w:w="15" w:type="dxa"/>
          </w:tblCellMar>
        </w:tblPrEx>
        <w:trPr>
          <w:trHeight w:val="450"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2、效益指标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优良天数比列</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80%以上</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经济效益指标（选填）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项目持续发挥作用时限（年）</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1</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生态效益指标（选填）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r>
      <w:tr>
        <w:tblPrEx>
          <w:tblCellMar>
            <w:top w:w="15" w:type="dxa"/>
            <w:left w:w="15" w:type="dxa"/>
            <w:bottom w:w="15" w:type="dxa"/>
            <w:right w:w="15" w:type="dxa"/>
          </w:tblCellMar>
        </w:tblPrEx>
        <w:trPr>
          <w:trHeight w:val="45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3、满意度指标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群众满意度</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80%以上</w:t>
            </w:r>
          </w:p>
        </w:tc>
      </w:tr>
    </w:tbl>
    <w:p>
      <w:pPr>
        <w:widowControl/>
        <w:jc w:val="left"/>
        <w:outlineLvl w:val="1"/>
        <w:rPr>
          <w:rFonts w:ascii="仿宋_GB2312" w:hAnsi="宋体" w:eastAsia="仿宋_GB2312"/>
          <w:color w:val="000000"/>
          <w:kern w:val="0"/>
          <w:sz w:val="30"/>
          <w:szCs w:val="30"/>
        </w:rPr>
      </w:pPr>
    </w:p>
    <w:tbl>
      <w:tblPr>
        <w:tblStyle w:val="8"/>
        <w:tblW w:w="0" w:type="auto"/>
        <w:tblInd w:w="0" w:type="dxa"/>
        <w:tblLayout w:type="fixed"/>
        <w:tblCellMar>
          <w:top w:w="15" w:type="dxa"/>
          <w:left w:w="15" w:type="dxa"/>
          <w:bottom w:w="15" w:type="dxa"/>
          <w:right w:w="15" w:type="dxa"/>
        </w:tblCellMar>
      </w:tblPr>
      <w:tblGrid>
        <w:gridCol w:w="1132"/>
        <w:gridCol w:w="2015"/>
        <w:gridCol w:w="2171"/>
        <w:gridCol w:w="1322"/>
        <w:gridCol w:w="1848"/>
      </w:tblGrid>
      <w:tr>
        <w:tblPrEx>
          <w:tblCellMar>
            <w:top w:w="15" w:type="dxa"/>
            <w:left w:w="15" w:type="dxa"/>
            <w:bottom w:w="15" w:type="dxa"/>
            <w:right w:w="15" w:type="dxa"/>
          </w:tblCellMar>
        </w:tblPrEx>
        <w:trPr>
          <w:trHeight w:val="885" w:hRule="atLeast"/>
        </w:trPr>
        <w:tc>
          <w:tcPr>
            <w:tcW w:w="8488" w:type="dxa"/>
            <w:gridSpan w:val="5"/>
            <w:vAlign w:val="center"/>
          </w:tcPr>
          <w:p>
            <w:pPr>
              <w:widowControl/>
              <w:jc w:val="center"/>
              <w:textAlignment w:val="center"/>
              <w:rPr>
                <w:rFonts w:ascii="宋体" w:hAnsi="宋体" w:cs="宋体"/>
                <w:b/>
                <w:color w:val="000000"/>
                <w:sz w:val="40"/>
                <w:szCs w:val="40"/>
              </w:rPr>
            </w:pPr>
            <w:r>
              <w:rPr>
                <w:rFonts w:hint="eastAsia" w:ascii="宋体" w:hAnsi="宋体" w:cs="宋体"/>
                <w:b/>
                <w:color w:val="000000"/>
                <w:kern w:val="0"/>
                <w:sz w:val="28"/>
                <w:szCs w:val="28"/>
              </w:rPr>
              <w:t>2021年吴忠市本级部门项目支出预算绩效目标表</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项目名称</w:t>
            </w:r>
          </w:p>
        </w:tc>
        <w:tc>
          <w:tcPr>
            <w:tcW w:w="5341"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20"/>
              </w:rPr>
            </w:pPr>
            <w:r>
              <w:rPr>
                <w:rFonts w:hint="eastAsia" w:cs="Arial"/>
                <w:color w:val="000000"/>
                <w:sz w:val="20"/>
              </w:rPr>
              <w:t>复转军人人员支出</w:t>
            </w:r>
          </w:p>
          <w:p>
            <w:pPr>
              <w:widowControl/>
              <w:textAlignment w:val="center"/>
              <w:rPr>
                <w:rFonts w:ascii="宋体" w:hAnsi="宋体" w:cs="宋体"/>
                <w:color w:val="000000"/>
                <w:sz w:val="20"/>
              </w:rPr>
            </w:pP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主管部门</w:t>
            </w:r>
          </w:p>
        </w:tc>
        <w:tc>
          <w:tcPr>
            <w:tcW w:w="21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吴忠市生态环境局</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实施单位</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吴忠市生态环境保护综合执法支队</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项目属性</w:t>
            </w:r>
          </w:p>
        </w:tc>
        <w:tc>
          <w:tcPr>
            <w:tcW w:w="21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一年期项目</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项目期</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2021年-2021年</w:t>
            </w:r>
          </w:p>
        </w:tc>
      </w:tr>
      <w:tr>
        <w:tblPrEx>
          <w:tblCellMar>
            <w:top w:w="15" w:type="dxa"/>
            <w:left w:w="15" w:type="dxa"/>
            <w:bottom w:w="15" w:type="dxa"/>
            <w:right w:w="15" w:type="dxa"/>
          </w:tblCellMar>
        </w:tblPrEx>
        <w:trPr>
          <w:trHeight w:val="450" w:hRule="atLeast"/>
        </w:trPr>
        <w:tc>
          <w:tcPr>
            <w:tcW w:w="314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项目资金</w:t>
            </w:r>
            <w:r>
              <w:rPr>
                <w:rFonts w:hint="eastAsia" w:ascii="宋体" w:hAnsi="宋体" w:cs="宋体"/>
                <w:b/>
                <w:color w:val="000000"/>
                <w:kern w:val="0"/>
                <w:sz w:val="20"/>
              </w:rPr>
              <w:br w:type="textWrapping"/>
            </w:r>
            <w:r>
              <w:rPr>
                <w:rFonts w:hint="eastAsia" w:ascii="宋体" w:hAnsi="宋体" w:cs="宋体"/>
                <w:b/>
                <w:color w:val="000000"/>
                <w:kern w:val="0"/>
                <w:sz w:val="20"/>
              </w:rPr>
              <w:t>（万元）</w:t>
            </w: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年度资金总额</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ascii="宋体" w:hAnsi="宋体" w:cs="宋体"/>
                <w:color w:val="000000"/>
                <w:sz w:val="20"/>
              </w:rPr>
              <w:t>10</w:t>
            </w: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其中：财政拨款</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ascii="宋体" w:hAnsi="宋体" w:cs="宋体"/>
                <w:color w:val="000000"/>
                <w:sz w:val="20"/>
              </w:rPr>
              <w:t>10</w:t>
            </w: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xml:space="preserve">                   结余结转</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其他资金</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p>
        </w:tc>
      </w:tr>
      <w:tr>
        <w:tblPrEx>
          <w:tblCellMar>
            <w:top w:w="15" w:type="dxa"/>
            <w:left w:w="15" w:type="dxa"/>
            <w:bottom w:w="15" w:type="dxa"/>
            <w:right w:w="15" w:type="dxa"/>
          </w:tblCellMar>
        </w:tblPrEx>
        <w:trPr>
          <w:trHeight w:val="147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绩效目标</w:t>
            </w:r>
          </w:p>
        </w:tc>
        <w:tc>
          <w:tcPr>
            <w:tcW w:w="735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rPr>
            </w:pPr>
            <w:r>
              <w:rPr>
                <w:rFonts w:hint="eastAsia" w:ascii="宋体" w:hAnsi="宋体" w:cs="宋体"/>
                <w:color w:val="000000"/>
                <w:sz w:val="20"/>
              </w:rPr>
              <w:t>按照吴忠市《关于下达2005年城镇退役士兵安置计划的通知》及吴忠市财政部门里年关于退伍军人工资管理有关规定，支队1名退伍军人2021年1至12月全部工资及社保缴费性支出预算总额为10万元，预计预算执行率100%。</w:t>
            </w:r>
          </w:p>
        </w:tc>
      </w:tr>
      <w:tr>
        <w:tblPrEx>
          <w:tblCellMar>
            <w:top w:w="15" w:type="dxa"/>
            <w:left w:w="15" w:type="dxa"/>
            <w:bottom w:w="15" w:type="dxa"/>
            <w:right w:w="15" w:type="dxa"/>
          </w:tblCellMar>
        </w:tblPrEx>
        <w:trPr>
          <w:trHeight w:val="45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r>
      <w:tr>
        <w:tblPrEx>
          <w:tblCellMar>
            <w:top w:w="15" w:type="dxa"/>
            <w:left w:w="15" w:type="dxa"/>
            <w:bottom w:w="15" w:type="dxa"/>
            <w:right w:w="15" w:type="dxa"/>
          </w:tblCellMar>
        </w:tblPrEx>
        <w:trPr>
          <w:trHeight w:val="450"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1、产出指标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数量指标（必填硬性指标）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退伍军人数量（名）</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1</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预算执行率</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100%</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项目完成时限（年）</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1</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成本指标（必填硬性指标）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投入成本费用（万元）</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10</w:t>
            </w:r>
          </w:p>
        </w:tc>
      </w:tr>
      <w:tr>
        <w:tblPrEx>
          <w:tblCellMar>
            <w:top w:w="15" w:type="dxa"/>
            <w:left w:w="15" w:type="dxa"/>
            <w:bottom w:w="15" w:type="dxa"/>
            <w:right w:w="15" w:type="dxa"/>
          </w:tblCellMar>
        </w:tblPrEx>
        <w:trPr>
          <w:trHeight w:val="450"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2、效益指标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收入水平</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与上年持平</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经济效益指标（选填）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项目持续发挥作用期限（年）</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1</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生态效益指标（选填）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r>
      <w:tr>
        <w:tblPrEx>
          <w:tblCellMar>
            <w:top w:w="15" w:type="dxa"/>
            <w:left w:w="15" w:type="dxa"/>
            <w:bottom w:w="15" w:type="dxa"/>
            <w:right w:w="15" w:type="dxa"/>
          </w:tblCellMar>
        </w:tblPrEx>
        <w:trPr>
          <w:trHeight w:val="45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3、满意度指标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职工满意度</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95%以上</w:t>
            </w:r>
          </w:p>
        </w:tc>
      </w:tr>
    </w:tbl>
    <w:p>
      <w:pPr>
        <w:widowControl/>
        <w:jc w:val="left"/>
        <w:outlineLvl w:val="1"/>
        <w:rPr>
          <w:rFonts w:ascii="仿宋_GB2312" w:hAnsi="宋体" w:eastAsia="仿宋_GB2312"/>
          <w:color w:val="000000"/>
          <w:kern w:val="0"/>
          <w:sz w:val="30"/>
          <w:szCs w:val="30"/>
        </w:rPr>
      </w:pPr>
    </w:p>
    <w:p>
      <w:pPr>
        <w:widowControl/>
        <w:jc w:val="left"/>
        <w:outlineLvl w:val="1"/>
        <w:rPr>
          <w:rFonts w:ascii="仿宋_GB2312" w:hAnsi="宋体" w:eastAsia="仿宋_GB2312"/>
          <w:color w:val="000000"/>
          <w:kern w:val="0"/>
          <w:sz w:val="30"/>
          <w:szCs w:val="30"/>
        </w:rPr>
      </w:pPr>
    </w:p>
    <w:p>
      <w:pPr>
        <w:widowControl/>
        <w:jc w:val="left"/>
        <w:outlineLvl w:val="1"/>
        <w:rPr>
          <w:rFonts w:ascii="仿宋_GB2312" w:hAnsi="宋体" w:eastAsia="仿宋_GB2312"/>
          <w:color w:val="000000"/>
          <w:kern w:val="0"/>
          <w:sz w:val="30"/>
          <w:szCs w:val="30"/>
        </w:rPr>
      </w:pPr>
    </w:p>
    <w:tbl>
      <w:tblPr>
        <w:tblStyle w:val="8"/>
        <w:tblW w:w="0" w:type="auto"/>
        <w:tblInd w:w="0" w:type="dxa"/>
        <w:tblLayout w:type="fixed"/>
        <w:tblCellMar>
          <w:top w:w="15" w:type="dxa"/>
          <w:left w:w="15" w:type="dxa"/>
          <w:bottom w:w="15" w:type="dxa"/>
          <w:right w:w="15" w:type="dxa"/>
        </w:tblCellMar>
      </w:tblPr>
      <w:tblGrid>
        <w:gridCol w:w="1132"/>
        <w:gridCol w:w="2015"/>
        <w:gridCol w:w="2171"/>
        <w:gridCol w:w="1322"/>
        <w:gridCol w:w="1848"/>
      </w:tblGrid>
      <w:tr>
        <w:tblPrEx>
          <w:tblCellMar>
            <w:top w:w="15" w:type="dxa"/>
            <w:left w:w="15" w:type="dxa"/>
            <w:bottom w:w="15" w:type="dxa"/>
            <w:right w:w="15" w:type="dxa"/>
          </w:tblCellMar>
        </w:tblPrEx>
        <w:trPr>
          <w:trHeight w:val="885" w:hRule="atLeast"/>
        </w:trPr>
        <w:tc>
          <w:tcPr>
            <w:tcW w:w="8488" w:type="dxa"/>
            <w:gridSpan w:val="5"/>
            <w:vAlign w:val="center"/>
          </w:tcPr>
          <w:p>
            <w:pPr>
              <w:widowControl/>
              <w:jc w:val="center"/>
              <w:textAlignment w:val="center"/>
              <w:rPr>
                <w:rFonts w:ascii="宋体" w:hAnsi="宋体" w:cs="宋体"/>
                <w:b/>
                <w:color w:val="000000"/>
                <w:sz w:val="40"/>
                <w:szCs w:val="40"/>
              </w:rPr>
            </w:pPr>
            <w:r>
              <w:rPr>
                <w:rFonts w:hint="eastAsia" w:ascii="宋体" w:hAnsi="宋体" w:cs="宋体"/>
                <w:b/>
                <w:color w:val="000000"/>
                <w:kern w:val="0"/>
                <w:sz w:val="28"/>
                <w:szCs w:val="28"/>
              </w:rPr>
              <w:t>2021年吴忠市本级部门项目支出预算绩效目标表</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项目名称</w:t>
            </w:r>
          </w:p>
        </w:tc>
        <w:tc>
          <w:tcPr>
            <w:tcW w:w="5341"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0"/>
              </w:rPr>
            </w:pPr>
            <w:r>
              <w:rPr>
                <w:rFonts w:hint="eastAsia" w:cs="Arial"/>
                <w:color w:val="000000"/>
                <w:sz w:val="20"/>
              </w:rPr>
              <w:t>环境监测津贴</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主管部门</w:t>
            </w:r>
          </w:p>
        </w:tc>
        <w:tc>
          <w:tcPr>
            <w:tcW w:w="21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吴忠市生态环境局</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实施单位</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吴忠市生态环境保护综合执法支队</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项目属性</w:t>
            </w:r>
          </w:p>
        </w:tc>
        <w:tc>
          <w:tcPr>
            <w:tcW w:w="21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一年期项目</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项目期</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2021年-2021年</w:t>
            </w:r>
          </w:p>
        </w:tc>
      </w:tr>
      <w:tr>
        <w:tblPrEx>
          <w:tblCellMar>
            <w:top w:w="15" w:type="dxa"/>
            <w:left w:w="15" w:type="dxa"/>
            <w:bottom w:w="15" w:type="dxa"/>
            <w:right w:w="15" w:type="dxa"/>
          </w:tblCellMar>
        </w:tblPrEx>
        <w:trPr>
          <w:trHeight w:val="450" w:hRule="atLeast"/>
        </w:trPr>
        <w:tc>
          <w:tcPr>
            <w:tcW w:w="314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项目资金</w:t>
            </w:r>
            <w:r>
              <w:rPr>
                <w:rFonts w:hint="eastAsia" w:ascii="宋体" w:hAnsi="宋体" w:cs="宋体"/>
                <w:b/>
                <w:color w:val="000000"/>
                <w:kern w:val="0"/>
                <w:sz w:val="20"/>
              </w:rPr>
              <w:br w:type="textWrapping"/>
            </w:r>
            <w:r>
              <w:rPr>
                <w:rFonts w:hint="eastAsia" w:ascii="宋体" w:hAnsi="宋体" w:cs="宋体"/>
                <w:b/>
                <w:color w:val="000000"/>
                <w:kern w:val="0"/>
                <w:sz w:val="20"/>
              </w:rPr>
              <w:t>（万元）</w:t>
            </w: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年度资金总额</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ascii="宋体" w:hAnsi="宋体" w:cs="宋体"/>
                <w:color w:val="000000"/>
                <w:sz w:val="20"/>
              </w:rPr>
              <w:t>10</w:t>
            </w: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其中：财政拨款</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ascii="宋体" w:hAnsi="宋体" w:cs="宋体"/>
                <w:color w:val="000000"/>
                <w:sz w:val="20"/>
              </w:rPr>
              <w:t>10</w:t>
            </w: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xml:space="preserve">                   结余结转</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其他资金</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p>
        </w:tc>
      </w:tr>
      <w:tr>
        <w:tblPrEx>
          <w:tblCellMar>
            <w:top w:w="15" w:type="dxa"/>
            <w:left w:w="15" w:type="dxa"/>
            <w:bottom w:w="15" w:type="dxa"/>
            <w:right w:w="15" w:type="dxa"/>
          </w:tblCellMar>
        </w:tblPrEx>
        <w:trPr>
          <w:trHeight w:val="147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绩效目标</w:t>
            </w:r>
          </w:p>
        </w:tc>
        <w:tc>
          <w:tcPr>
            <w:tcW w:w="735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rPr>
            </w:pPr>
            <w:r>
              <w:rPr>
                <w:rFonts w:hint="eastAsia" w:ascii="宋体" w:hAnsi="宋体" w:cs="宋体"/>
                <w:color w:val="000000"/>
                <w:sz w:val="20"/>
              </w:rPr>
              <w:t>根据人社部《关于调整环境监测津贴的通知》（人社部发【2015】100号和《关于印发吴忠市新闻传媒中心等14个事业单位机构编制方案的通知》（吴编发【2019】48号）文件职能职责要求，2021年1月至2021年12月执法人员深入污染源现场直接接触有毒有害物质开展执法工作，为保证执法人员合法权益，按规定给予补贴，投入成本费用10万元，年终预算执行率达90%以上，职工满意度达95%以上。</w:t>
            </w:r>
          </w:p>
        </w:tc>
      </w:tr>
      <w:tr>
        <w:tblPrEx>
          <w:tblCellMar>
            <w:top w:w="15" w:type="dxa"/>
            <w:left w:w="15" w:type="dxa"/>
            <w:bottom w:w="15" w:type="dxa"/>
            <w:right w:w="15" w:type="dxa"/>
          </w:tblCellMar>
        </w:tblPrEx>
        <w:trPr>
          <w:trHeight w:val="45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r>
      <w:tr>
        <w:tblPrEx>
          <w:tblCellMar>
            <w:top w:w="15" w:type="dxa"/>
            <w:left w:w="15" w:type="dxa"/>
            <w:bottom w:w="15" w:type="dxa"/>
            <w:right w:w="15" w:type="dxa"/>
          </w:tblCellMar>
        </w:tblPrEx>
        <w:trPr>
          <w:trHeight w:val="450"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1、产出指标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数量指标（必填硬性指标）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人员数量</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30</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预算执行率</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90%以上</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项目完成时限 （年）</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1</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成本指标（必填硬性指标）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投入成本费用（万元）</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10</w:t>
            </w:r>
          </w:p>
        </w:tc>
      </w:tr>
      <w:tr>
        <w:tblPrEx>
          <w:tblCellMar>
            <w:top w:w="15" w:type="dxa"/>
            <w:left w:w="15" w:type="dxa"/>
            <w:bottom w:w="15" w:type="dxa"/>
            <w:right w:w="15" w:type="dxa"/>
          </w:tblCellMar>
        </w:tblPrEx>
        <w:trPr>
          <w:trHeight w:val="450"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2、效益指标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执法人员执法积极性</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提高</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经济效益指标（选填）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项目持续发挥作用的期限（年）</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1</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生态效益指标（选填）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r>
      <w:tr>
        <w:tblPrEx>
          <w:tblCellMar>
            <w:top w:w="15" w:type="dxa"/>
            <w:left w:w="15" w:type="dxa"/>
            <w:bottom w:w="15" w:type="dxa"/>
            <w:right w:w="15" w:type="dxa"/>
          </w:tblCellMar>
        </w:tblPrEx>
        <w:trPr>
          <w:trHeight w:val="45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3、满意度指标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职工满意度</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95%以上</w:t>
            </w:r>
          </w:p>
        </w:tc>
      </w:tr>
    </w:tbl>
    <w:p>
      <w:pPr>
        <w:widowControl/>
        <w:jc w:val="left"/>
        <w:outlineLvl w:val="1"/>
        <w:rPr>
          <w:rFonts w:ascii="仿宋_GB2312" w:hAnsi="宋体" w:eastAsia="仿宋_GB2312"/>
          <w:color w:val="000000"/>
          <w:kern w:val="0"/>
          <w:sz w:val="30"/>
          <w:szCs w:val="30"/>
        </w:rPr>
      </w:pPr>
    </w:p>
    <w:p>
      <w:pPr>
        <w:widowControl/>
        <w:jc w:val="left"/>
        <w:outlineLvl w:val="1"/>
        <w:rPr>
          <w:rFonts w:ascii="仿宋_GB2312" w:hAnsi="宋体" w:eastAsia="仿宋_GB2312"/>
          <w:color w:val="000000"/>
          <w:kern w:val="0"/>
          <w:sz w:val="30"/>
          <w:szCs w:val="30"/>
        </w:rPr>
      </w:pPr>
    </w:p>
    <w:p>
      <w:pPr>
        <w:widowControl/>
        <w:jc w:val="left"/>
        <w:outlineLvl w:val="1"/>
        <w:rPr>
          <w:rFonts w:ascii="仿宋_GB2312" w:hAnsi="宋体" w:eastAsia="仿宋_GB2312"/>
          <w:color w:val="000000"/>
          <w:kern w:val="0"/>
          <w:sz w:val="30"/>
          <w:szCs w:val="30"/>
        </w:rPr>
      </w:pPr>
    </w:p>
    <w:tbl>
      <w:tblPr>
        <w:tblStyle w:val="8"/>
        <w:tblW w:w="0" w:type="auto"/>
        <w:tblInd w:w="0" w:type="dxa"/>
        <w:tblLayout w:type="fixed"/>
        <w:tblCellMar>
          <w:top w:w="15" w:type="dxa"/>
          <w:left w:w="15" w:type="dxa"/>
          <w:bottom w:w="15" w:type="dxa"/>
          <w:right w:w="15" w:type="dxa"/>
        </w:tblCellMar>
      </w:tblPr>
      <w:tblGrid>
        <w:gridCol w:w="1132"/>
        <w:gridCol w:w="2015"/>
        <w:gridCol w:w="2171"/>
        <w:gridCol w:w="1322"/>
        <w:gridCol w:w="1848"/>
      </w:tblGrid>
      <w:tr>
        <w:tblPrEx>
          <w:tblCellMar>
            <w:top w:w="15" w:type="dxa"/>
            <w:left w:w="15" w:type="dxa"/>
            <w:bottom w:w="15" w:type="dxa"/>
            <w:right w:w="15" w:type="dxa"/>
          </w:tblCellMar>
        </w:tblPrEx>
        <w:trPr>
          <w:trHeight w:val="885" w:hRule="atLeast"/>
        </w:trPr>
        <w:tc>
          <w:tcPr>
            <w:tcW w:w="8488" w:type="dxa"/>
            <w:gridSpan w:val="5"/>
            <w:vAlign w:val="center"/>
          </w:tcPr>
          <w:p>
            <w:pPr>
              <w:widowControl/>
              <w:jc w:val="center"/>
              <w:textAlignment w:val="center"/>
              <w:rPr>
                <w:rFonts w:ascii="宋体" w:hAnsi="宋体" w:cs="宋体"/>
                <w:b/>
                <w:color w:val="000000"/>
                <w:sz w:val="40"/>
                <w:szCs w:val="40"/>
              </w:rPr>
            </w:pPr>
            <w:r>
              <w:rPr>
                <w:rFonts w:hint="eastAsia" w:ascii="宋体" w:hAnsi="宋体" w:cs="宋体"/>
                <w:b/>
                <w:color w:val="000000"/>
                <w:kern w:val="0"/>
                <w:sz w:val="28"/>
                <w:szCs w:val="28"/>
              </w:rPr>
              <w:t>2021年吴忠市本级部门项目支出预算绩效目标表</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项目名称</w:t>
            </w:r>
          </w:p>
        </w:tc>
        <w:tc>
          <w:tcPr>
            <w:tcW w:w="5341"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0"/>
              </w:rPr>
            </w:pPr>
            <w:r>
              <w:rPr>
                <w:rFonts w:hint="eastAsia" w:cs="Arial"/>
                <w:color w:val="000000"/>
                <w:sz w:val="20"/>
              </w:rPr>
              <w:t>环境信息化监管服务平台、在线监测运行费</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主管部门</w:t>
            </w:r>
          </w:p>
        </w:tc>
        <w:tc>
          <w:tcPr>
            <w:tcW w:w="21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吴忠市生态环境局</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实施单位</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吴忠市生态环境保护综合执法支队</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项目属性</w:t>
            </w:r>
          </w:p>
        </w:tc>
        <w:tc>
          <w:tcPr>
            <w:tcW w:w="21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一年期项目</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项目期</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2021年-2021年</w:t>
            </w:r>
          </w:p>
        </w:tc>
      </w:tr>
      <w:tr>
        <w:tblPrEx>
          <w:tblCellMar>
            <w:top w:w="15" w:type="dxa"/>
            <w:left w:w="15" w:type="dxa"/>
            <w:bottom w:w="15" w:type="dxa"/>
            <w:right w:w="15" w:type="dxa"/>
          </w:tblCellMar>
        </w:tblPrEx>
        <w:trPr>
          <w:trHeight w:val="450" w:hRule="atLeast"/>
        </w:trPr>
        <w:tc>
          <w:tcPr>
            <w:tcW w:w="314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项目资金</w:t>
            </w:r>
            <w:r>
              <w:rPr>
                <w:rFonts w:hint="eastAsia" w:ascii="宋体" w:hAnsi="宋体" w:cs="宋体"/>
                <w:b/>
                <w:color w:val="000000"/>
                <w:kern w:val="0"/>
                <w:sz w:val="20"/>
              </w:rPr>
              <w:br w:type="textWrapping"/>
            </w:r>
            <w:r>
              <w:rPr>
                <w:rFonts w:hint="eastAsia" w:ascii="宋体" w:hAnsi="宋体" w:cs="宋体"/>
                <w:b/>
                <w:color w:val="000000"/>
                <w:kern w:val="0"/>
                <w:sz w:val="20"/>
              </w:rPr>
              <w:t>（万元）</w:t>
            </w: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年度资金总额</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50</w:t>
            </w: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其中：财政拨款</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50</w:t>
            </w: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xml:space="preserve">                   结余结转</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其他资金</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p>
        </w:tc>
      </w:tr>
      <w:tr>
        <w:tblPrEx>
          <w:tblCellMar>
            <w:top w:w="15" w:type="dxa"/>
            <w:left w:w="15" w:type="dxa"/>
            <w:bottom w:w="15" w:type="dxa"/>
            <w:right w:w="15" w:type="dxa"/>
          </w:tblCellMar>
        </w:tblPrEx>
        <w:trPr>
          <w:trHeight w:val="147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绩效目标</w:t>
            </w:r>
          </w:p>
        </w:tc>
        <w:tc>
          <w:tcPr>
            <w:tcW w:w="735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rPr>
            </w:pPr>
            <w:r>
              <w:rPr>
                <w:rFonts w:hint="eastAsia" w:ascii="宋体" w:hAnsi="宋体" w:cs="宋体"/>
                <w:color w:val="000000"/>
                <w:sz w:val="20"/>
              </w:rPr>
              <w:t>根据关于印发《生态环境大数据建设总体方案》的通知（环办厅[2016]23号）和《关于印发吴忠市新闻传媒中心等14个事业单位机构编制方案的通知》（吴编发【2019】48号）文件职能职责要求，2021年1月至2021年12月项目主要内容为移动执法终端、信息公开、户外电子大屏、高空瞭望、智能IC 卡等信息化系统移动网络通信及维护费，全年投入成本费用50万元，年终预算执行率达90%以上，此项工作开展保证当年城市空气质量优良天数达80%以上。</w:t>
            </w:r>
          </w:p>
        </w:tc>
      </w:tr>
      <w:tr>
        <w:tblPrEx>
          <w:tblCellMar>
            <w:top w:w="15" w:type="dxa"/>
            <w:left w:w="15" w:type="dxa"/>
            <w:bottom w:w="15" w:type="dxa"/>
            <w:right w:w="15" w:type="dxa"/>
          </w:tblCellMar>
        </w:tblPrEx>
        <w:trPr>
          <w:trHeight w:val="45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r>
      <w:tr>
        <w:tblPrEx>
          <w:tblCellMar>
            <w:top w:w="15" w:type="dxa"/>
            <w:left w:w="15" w:type="dxa"/>
            <w:bottom w:w="15" w:type="dxa"/>
            <w:right w:w="15" w:type="dxa"/>
          </w:tblCellMar>
        </w:tblPrEx>
        <w:trPr>
          <w:trHeight w:val="450"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1、产出指标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数量指标（必填硬性指标）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在线监控联网企业设备数（套）</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56</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在线数据传输率</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90%以上</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项目有效时限（年）</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1</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成本指标（必填硬性指标）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投入成本费用（万元）</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50</w:t>
            </w:r>
          </w:p>
        </w:tc>
      </w:tr>
      <w:tr>
        <w:tblPrEx>
          <w:tblCellMar>
            <w:top w:w="15" w:type="dxa"/>
            <w:left w:w="15" w:type="dxa"/>
            <w:bottom w:w="15" w:type="dxa"/>
            <w:right w:w="15" w:type="dxa"/>
          </w:tblCellMar>
        </w:tblPrEx>
        <w:trPr>
          <w:trHeight w:val="450"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2、效益指标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城市空气优良天数</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80%以上</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经济效益指标（选填）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项目持续发挥作用的期限（年）</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1</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生态效益指标（选填）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r>
      <w:tr>
        <w:tblPrEx>
          <w:tblCellMar>
            <w:top w:w="15" w:type="dxa"/>
            <w:left w:w="15" w:type="dxa"/>
            <w:bottom w:w="15" w:type="dxa"/>
            <w:right w:w="15" w:type="dxa"/>
          </w:tblCellMar>
        </w:tblPrEx>
        <w:trPr>
          <w:trHeight w:val="45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3、满意度指标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服务对象满意度</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90%以上</w:t>
            </w:r>
          </w:p>
        </w:tc>
      </w:tr>
    </w:tbl>
    <w:p>
      <w:pPr>
        <w:widowControl/>
        <w:jc w:val="left"/>
        <w:outlineLvl w:val="1"/>
        <w:rPr>
          <w:rFonts w:ascii="仿宋_GB2312" w:hAnsi="宋体" w:eastAsia="仿宋_GB2312"/>
          <w:color w:val="000000"/>
          <w:kern w:val="0"/>
          <w:sz w:val="30"/>
          <w:szCs w:val="30"/>
        </w:rPr>
      </w:pPr>
    </w:p>
    <w:p>
      <w:pPr>
        <w:widowControl/>
        <w:jc w:val="left"/>
        <w:outlineLvl w:val="1"/>
        <w:rPr>
          <w:rFonts w:ascii="仿宋_GB2312" w:hAnsi="宋体" w:eastAsia="仿宋_GB2312"/>
          <w:color w:val="000000"/>
          <w:kern w:val="0"/>
          <w:sz w:val="30"/>
          <w:szCs w:val="30"/>
        </w:rPr>
      </w:pPr>
    </w:p>
    <w:p>
      <w:pPr>
        <w:widowControl/>
        <w:jc w:val="left"/>
        <w:outlineLvl w:val="1"/>
        <w:rPr>
          <w:rFonts w:ascii="仿宋_GB2312" w:hAnsi="宋体" w:eastAsia="仿宋_GB2312"/>
          <w:color w:val="000000"/>
          <w:kern w:val="0"/>
          <w:sz w:val="30"/>
          <w:szCs w:val="30"/>
        </w:rPr>
      </w:pPr>
    </w:p>
    <w:tbl>
      <w:tblPr>
        <w:tblStyle w:val="8"/>
        <w:tblW w:w="0" w:type="auto"/>
        <w:tblInd w:w="0" w:type="dxa"/>
        <w:tblLayout w:type="fixed"/>
        <w:tblCellMar>
          <w:top w:w="15" w:type="dxa"/>
          <w:left w:w="15" w:type="dxa"/>
          <w:bottom w:w="15" w:type="dxa"/>
          <w:right w:w="15" w:type="dxa"/>
        </w:tblCellMar>
      </w:tblPr>
      <w:tblGrid>
        <w:gridCol w:w="1132"/>
        <w:gridCol w:w="2015"/>
        <w:gridCol w:w="2171"/>
        <w:gridCol w:w="1322"/>
        <w:gridCol w:w="1848"/>
      </w:tblGrid>
      <w:tr>
        <w:tblPrEx>
          <w:tblCellMar>
            <w:top w:w="15" w:type="dxa"/>
            <w:left w:w="15" w:type="dxa"/>
            <w:bottom w:w="15" w:type="dxa"/>
            <w:right w:w="15" w:type="dxa"/>
          </w:tblCellMar>
        </w:tblPrEx>
        <w:trPr>
          <w:trHeight w:val="885" w:hRule="atLeast"/>
        </w:trPr>
        <w:tc>
          <w:tcPr>
            <w:tcW w:w="8488" w:type="dxa"/>
            <w:gridSpan w:val="5"/>
            <w:vAlign w:val="center"/>
          </w:tcPr>
          <w:p>
            <w:pPr>
              <w:widowControl/>
              <w:jc w:val="center"/>
              <w:textAlignment w:val="center"/>
              <w:rPr>
                <w:rFonts w:ascii="宋体" w:hAnsi="宋体" w:cs="宋体"/>
                <w:b/>
                <w:color w:val="000000"/>
                <w:sz w:val="40"/>
                <w:szCs w:val="40"/>
              </w:rPr>
            </w:pPr>
            <w:r>
              <w:rPr>
                <w:rFonts w:hint="eastAsia" w:ascii="宋体" w:hAnsi="宋体" w:cs="宋体"/>
                <w:b/>
                <w:color w:val="000000"/>
                <w:kern w:val="0"/>
                <w:sz w:val="28"/>
                <w:szCs w:val="28"/>
              </w:rPr>
              <w:t>2021年吴忠市本级部门项目支出预算绩效目标表</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项目名称</w:t>
            </w:r>
          </w:p>
        </w:tc>
        <w:tc>
          <w:tcPr>
            <w:tcW w:w="5341"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0"/>
              </w:rPr>
            </w:pPr>
            <w:r>
              <w:rPr>
                <w:rFonts w:hint="eastAsia" w:cs="Arial"/>
                <w:color w:val="000000"/>
                <w:sz w:val="20"/>
              </w:rPr>
              <w:t>环境执法经费（人员支出）</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主管部门</w:t>
            </w:r>
          </w:p>
        </w:tc>
        <w:tc>
          <w:tcPr>
            <w:tcW w:w="21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吴忠市生态环境局</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实施单位</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吴忠市生态环境保护综合执法支队</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项目属性</w:t>
            </w:r>
          </w:p>
        </w:tc>
        <w:tc>
          <w:tcPr>
            <w:tcW w:w="21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一年期项目</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项目期</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2021年-2021年</w:t>
            </w:r>
          </w:p>
        </w:tc>
      </w:tr>
      <w:tr>
        <w:tblPrEx>
          <w:tblCellMar>
            <w:top w:w="15" w:type="dxa"/>
            <w:left w:w="15" w:type="dxa"/>
            <w:bottom w:w="15" w:type="dxa"/>
            <w:right w:w="15" w:type="dxa"/>
          </w:tblCellMar>
        </w:tblPrEx>
        <w:trPr>
          <w:trHeight w:val="450" w:hRule="atLeast"/>
        </w:trPr>
        <w:tc>
          <w:tcPr>
            <w:tcW w:w="314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项目资金</w:t>
            </w:r>
            <w:r>
              <w:rPr>
                <w:rFonts w:hint="eastAsia" w:ascii="宋体" w:hAnsi="宋体" w:cs="宋体"/>
                <w:b/>
                <w:color w:val="000000"/>
                <w:kern w:val="0"/>
                <w:sz w:val="20"/>
              </w:rPr>
              <w:br w:type="textWrapping"/>
            </w:r>
            <w:r>
              <w:rPr>
                <w:rFonts w:hint="eastAsia" w:ascii="宋体" w:hAnsi="宋体" w:cs="宋体"/>
                <w:b/>
                <w:color w:val="000000"/>
                <w:kern w:val="0"/>
                <w:sz w:val="20"/>
              </w:rPr>
              <w:t>（万元）</w:t>
            </w: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年度资金总额</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160</w:t>
            </w: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其中：财政拨款</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160</w:t>
            </w: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xml:space="preserve">                   结余结转</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其他资金</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p>
        </w:tc>
      </w:tr>
      <w:tr>
        <w:tblPrEx>
          <w:tblCellMar>
            <w:top w:w="15" w:type="dxa"/>
            <w:left w:w="15" w:type="dxa"/>
            <w:bottom w:w="15" w:type="dxa"/>
            <w:right w:w="15" w:type="dxa"/>
          </w:tblCellMar>
        </w:tblPrEx>
        <w:trPr>
          <w:trHeight w:val="147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绩效目标</w:t>
            </w:r>
          </w:p>
        </w:tc>
        <w:tc>
          <w:tcPr>
            <w:tcW w:w="735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rPr>
            </w:pPr>
            <w:r>
              <w:rPr>
                <w:rFonts w:hint="eastAsia" w:ascii="宋体" w:hAnsi="宋体" w:cs="宋体"/>
                <w:color w:val="000000"/>
                <w:sz w:val="20"/>
              </w:rPr>
              <w:t>根据吴忠市财政局历年对差额和自收自支编制人员工资管理要求，2021年1月至2021年12月11名差额和自收自支编制人员工资性支出整体列入项目预算，全年投入成本费用160万元，年终预算执行率达90%以上，职工满意度达95%以上。</w:t>
            </w:r>
          </w:p>
        </w:tc>
      </w:tr>
      <w:tr>
        <w:tblPrEx>
          <w:tblCellMar>
            <w:top w:w="15" w:type="dxa"/>
            <w:left w:w="15" w:type="dxa"/>
            <w:bottom w:w="15" w:type="dxa"/>
            <w:right w:w="15" w:type="dxa"/>
          </w:tblCellMar>
        </w:tblPrEx>
        <w:trPr>
          <w:trHeight w:val="45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r>
      <w:tr>
        <w:tblPrEx>
          <w:tblCellMar>
            <w:top w:w="15" w:type="dxa"/>
            <w:left w:w="15" w:type="dxa"/>
            <w:bottom w:w="15" w:type="dxa"/>
            <w:right w:w="15" w:type="dxa"/>
          </w:tblCellMar>
        </w:tblPrEx>
        <w:trPr>
          <w:trHeight w:val="450"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1、产出指标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数量指标（必填硬性指标）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人员数量</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11</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预算执行率</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90%以上</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项目完成时限（年）</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1</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成本指标（必填硬性指标）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投入成本费用（万元）</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160</w:t>
            </w:r>
          </w:p>
        </w:tc>
      </w:tr>
      <w:tr>
        <w:tblPrEx>
          <w:tblCellMar>
            <w:top w:w="15" w:type="dxa"/>
            <w:left w:w="15" w:type="dxa"/>
            <w:bottom w:w="15" w:type="dxa"/>
            <w:right w:w="15" w:type="dxa"/>
          </w:tblCellMar>
        </w:tblPrEx>
        <w:trPr>
          <w:trHeight w:val="450"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2、效益指标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职工环保工作积极性</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明显提高</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经济效益指标（选填）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项目持续发挥作用的期限（年）</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1</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生态效益指标（选填）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r>
      <w:tr>
        <w:tblPrEx>
          <w:tblCellMar>
            <w:top w:w="15" w:type="dxa"/>
            <w:left w:w="15" w:type="dxa"/>
            <w:bottom w:w="15" w:type="dxa"/>
            <w:right w:w="15" w:type="dxa"/>
          </w:tblCellMar>
        </w:tblPrEx>
        <w:trPr>
          <w:trHeight w:val="45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3、满意度指标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职工满意度</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95%以上</w:t>
            </w:r>
          </w:p>
        </w:tc>
      </w:tr>
    </w:tbl>
    <w:p>
      <w:pPr>
        <w:widowControl/>
        <w:jc w:val="left"/>
        <w:outlineLvl w:val="1"/>
        <w:rPr>
          <w:rFonts w:ascii="仿宋_GB2312" w:hAnsi="宋体" w:eastAsia="仿宋_GB2312"/>
          <w:color w:val="000000"/>
          <w:kern w:val="0"/>
          <w:sz w:val="30"/>
          <w:szCs w:val="30"/>
        </w:rPr>
      </w:pPr>
    </w:p>
    <w:p>
      <w:pPr>
        <w:widowControl/>
        <w:jc w:val="left"/>
        <w:outlineLvl w:val="1"/>
        <w:rPr>
          <w:rFonts w:ascii="仿宋_GB2312" w:hAnsi="宋体" w:eastAsia="仿宋_GB2312"/>
          <w:color w:val="000000"/>
          <w:kern w:val="0"/>
          <w:sz w:val="30"/>
          <w:szCs w:val="30"/>
        </w:rPr>
      </w:pPr>
    </w:p>
    <w:p>
      <w:pPr>
        <w:widowControl/>
        <w:jc w:val="left"/>
        <w:outlineLvl w:val="1"/>
        <w:rPr>
          <w:rFonts w:ascii="仿宋_GB2312" w:hAnsi="宋体" w:eastAsia="仿宋_GB2312"/>
          <w:color w:val="000000"/>
          <w:kern w:val="0"/>
          <w:sz w:val="30"/>
          <w:szCs w:val="30"/>
        </w:rPr>
      </w:pPr>
    </w:p>
    <w:p>
      <w:pPr>
        <w:widowControl/>
        <w:jc w:val="left"/>
        <w:outlineLvl w:val="1"/>
        <w:rPr>
          <w:rFonts w:ascii="仿宋_GB2312" w:hAnsi="宋体" w:eastAsia="仿宋_GB2312"/>
          <w:color w:val="000000"/>
          <w:kern w:val="0"/>
          <w:sz w:val="30"/>
          <w:szCs w:val="30"/>
        </w:rPr>
      </w:pPr>
    </w:p>
    <w:tbl>
      <w:tblPr>
        <w:tblStyle w:val="8"/>
        <w:tblW w:w="0" w:type="auto"/>
        <w:tblInd w:w="0" w:type="dxa"/>
        <w:tblLayout w:type="fixed"/>
        <w:tblCellMar>
          <w:top w:w="15" w:type="dxa"/>
          <w:left w:w="15" w:type="dxa"/>
          <w:bottom w:w="15" w:type="dxa"/>
          <w:right w:w="15" w:type="dxa"/>
        </w:tblCellMar>
      </w:tblPr>
      <w:tblGrid>
        <w:gridCol w:w="1132"/>
        <w:gridCol w:w="2015"/>
        <w:gridCol w:w="2171"/>
        <w:gridCol w:w="1322"/>
        <w:gridCol w:w="1848"/>
      </w:tblGrid>
      <w:tr>
        <w:tblPrEx>
          <w:tblCellMar>
            <w:top w:w="15" w:type="dxa"/>
            <w:left w:w="15" w:type="dxa"/>
            <w:bottom w:w="15" w:type="dxa"/>
            <w:right w:w="15" w:type="dxa"/>
          </w:tblCellMar>
        </w:tblPrEx>
        <w:trPr>
          <w:trHeight w:val="885" w:hRule="atLeast"/>
        </w:trPr>
        <w:tc>
          <w:tcPr>
            <w:tcW w:w="8488" w:type="dxa"/>
            <w:gridSpan w:val="5"/>
            <w:vAlign w:val="center"/>
          </w:tcPr>
          <w:p>
            <w:pPr>
              <w:widowControl/>
              <w:jc w:val="center"/>
              <w:textAlignment w:val="center"/>
              <w:rPr>
                <w:rFonts w:ascii="宋体" w:hAnsi="宋体" w:cs="宋体"/>
                <w:b/>
                <w:color w:val="000000"/>
                <w:sz w:val="40"/>
                <w:szCs w:val="40"/>
              </w:rPr>
            </w:pPr>
            <w:r>
              <w:rPr>
                <w:rFonts w:hint="eastAsia" w:ascii="宋体" w:hAnsi="宋体" w:cs="宋体"/>
                <w:b/>
                <w:color w:val="000000"/>
                <w:kern w:val="0"/>
                <w:sz w:val="28"/>
                <w:szCs w:val="28"/>
              </w:rPr>
              <w:t>2021年吴忠市本级部门项目支出预算绩效目标表</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项目名称</w:t>
            </w:r>
          </w:p>
        </w:tc>
        <w:tc>
          <w:tcPr>
            <w:tcW w:w="5341"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0"/>
              </w:rPr>
            </w:pPr>
            <w:r>
              <w:rPr>
                <w:rFonts w:hint="eastAsia" w:cs="Arial"/>
                <w:color w:val="000000"/>
                <w:sz w:val="20"/>
              </w:rPr>
              <w:t>排污口综合整治、中央环保</w:t>
            </w:r>
            <w:r>
              <w:rPr>
                <w:rFonts w:hint="eastAsia" w:cs="Arial"/>
                <w:color w:val="000000"/>
                <w:sz w:val="20"/>
                <w:lang w:val="en-US" w:eastAsia="zh-CN"/>
              </w:rPr>
              <w:t>督察</w:t>
            </w:r>
            <w:r>
              <w:rPr>
                <w:rFonts w:hint="eastAsia" w:cs="Arial"/>
                <w:color w:val="000000"/>
                <w:sz w:val="20"/>
              </w:rPr>
              <w:t>问题整改销号、黑臭水体、散乱污整治、集中饮用水源地保护、打击固体废物和危险废物非法转移及倾倒行为等突发环境处置、大气网格管理等工作经费</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主管部门</w:t>
            </w:r>
          </w:p>
        </w:tc>
        <w:tc>
          <w:tcPr>
            <w:tcW w:w="21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吴忠市生态环境局</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实施单位</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吴忠市生态环境保护综合执法支队</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项目属性</w:t>
            </w:r>
          </w:p>
        </w:tc>
        <w:tc>
          <w:tcPr>
            <w:tcW w:w="21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一年期项目</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项目期</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2021年-2021年</w:t>
            </w:r>
          </w:p>
        </w:tc>
      </w:tr>
      <w:tr>
        <w:tblPrEx>
          <w:tblCellMar>
            <w:top w:w="15" w:type="dxa"/>
            <w:left w:w="15" w:type="dxa"/>
            <w:bottom w:w="15" w:type="dxa"/>
            <w:right w:w="15" w:type="dxa"/>
          </w:tblCellMar>
        </w:tblPrEx>
        <w:trPr>
          <w:trHeight w:val="450" w:hRule="atLeast"/>
        </w:trPr>
        <w:tc>
          <w:tcPr>
            <w:tcW w:w="314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项目资金</w:t>
            </w:r>
            <w:r>
              <w:rPr>
                <w:rFonts w:hint="eastAsia" w:ascii="宋体" w:hAnsi="宋体" w:cs="宋体"/>
                <w:b/>
                <w:color w:val="000000"/>
                <w:kern w:val="0"/>
                <w:sz w:val="20"/>
              </w:rPr>
              <w:br w:type="textWrapping"/>
            </w:r>
            <w:r>
              <w:rPr>
                <w:rFonts w:hint="eastAsia" w:ascii="宋体" w:hAnsi="宋体" w:cs="宋体"/>
                <w:b/>
                <w:color w:val="000000"/>
                <w:kern w:val="0"/>
                <w:sz w:val="20"/>
              </w:rPr>
              <w:t>（万元）</w:t>
            </w: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年度资金总额</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20</w:t>
            </w: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其中：财政拨款</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20</w:t>
            </w: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xml:space="preserve">                   结余结转</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其他资金</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p>
        </w:tc>
      </w:tr>
      <w:tr>
        <w:tblPrEx>
          <w:tblCellMar>
            <w:top w:w="15" w:type="dxa"/>
            <w:left w:w="15" w:type="dxa"/>
            <w:bottom w:w="15" w:type="dxa"/>
            <w:right w:w="15" w:type="dxa"/>
          </w:tblCellMar>
        </w:tblPrEx>
        <w:trPr>
          <w:trHeight w:val="147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绩效目标</w:t>
            </w:r>
          </w:p>
        </w:tc>
        <w:tc>
          <w:tcPr>
            <w:tcW w:w="735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rPr>
            </w:pPr>
            <w:r>
              <w:rPr>
                <w:rFonts w:hint="eastAsia" w:ascii="宋体" w:hAnsi="宋体" w:cs="宋体"/>
                <w:color w:val="000000"/>
                <w:sz w:val="20"/>
              </w:rPr>
              <w:t>根据中华人民共和国环境保护部令第　34　号《突发环境事件应急管理办法》和《关于印发吴忠市新闻传媒中心等14个事业单位机构编制方案的通知》（吴编发【2019】48号）文件职能职责要求，2021年1月至2021年12月在全市开展突发环境事件处置应急演练培训、应急物资储备、应急预案编制、委托检测等工作，此项工作的开展保证在发生突发环境事件时，能及时发布事件动态、预警等级、监测数据、应急措施及处理进展情况，提高我市环境应急处置能力，保证人民环境安全，预计投入成本费用20万元，预计年底预算执行率90以上。</w:t>
            </w:r>
          </w:p>
        </w:tc>
      </w:tr>
      <w:tr>
        <w:tblPrEx>
          <w:tblCellMar>
            <w:top w:w="15" w:type="dxa"/>
            <w:left w:w="15" w:type="dxa"/>
            <w:bottom w:w="15" w:type="dxa"/>
            <w:right w:w="15" w:type="dxa"/>
          </w:tblCellMar>
        </w:tblPrEx>
        <w:trPr>
          <w:trHeight w:val="45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r>
      <w:tr>
        <w:tblPrEx>
          <w:tblCellMar>
            <w:top w:w="15" w:type="dxa"/>
            <w:left w:w="15" w:type="dxa"/>
            <w:bottom w:w="15" w:type="dxa"/>
            <w:right w:w="15" w:type="dxa"/>
          </w:tblCellMar>
        </w:tblPrEx>
        <w:trPr>
          <w:trHeight w:val="450"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1、产出指标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数量指标（必填硬性指标）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涵盖行政区域（个）</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5</w:t>
            </w:r>
          </w:p>
        </w:tc>
      </w:tr>
      <w:tr>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预算执行率</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90%以上</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项目完成时限（年）</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1</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成本指标（必填硬性指标）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投入成本费用（万元）</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20</w:t>
            </w:r>
          </w:p>
        </w:tc>
      </w:tr>
      <w:tr>
        <w:tblPrEx>
          <w:tblCellMar>
            <w:top w:w="15" w:type="dxa"/>
            <w:left w:w="15" w:type="dxa"/>
            <w:bottom w:w="15" w:type="dxa"/>
            <w:right w:w="15" w:type="dxa"/>
          </w:tblCellMar>
        </w:tblPrEx>
        <w:trPr>
          <w:trHeight w:val="450"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2、效益指标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全市突发环境应急处置能力</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明显提升</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经济效益指标（选填）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项目持续发挥作用年限（年）</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1</w:t>
            </w:r>
          </w:p>
        </w:tc>
      </w:tr>
      <w:tr>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生态效益指标（选填）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　</w:t>
            </w:r>
          </w:p>
        </w:tc>
      </w:tr>
      <w:tr>
        <w:trPr>
          <w:trHeight w:val="45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3、满意度指标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群众满意度</w:t>
            </w:r>
          </w:p>
        </w:tc>
        <w:tc>
          <w:tcPr>
            <w:tcW w:w="184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Arial"/>
                <w:color w:val="000000"/>
                <w:sz w:val="18"/>
                <w:szCs w:val="18"/>
              </w:rPr>
            </w:pPr>
            <w:r>
              <w:rPr>
                <w:rFonts w:hint="eastAsia" w:cs="Arial"/>
                <w:color w:val="000000"/>
                <w:sz w:val="18"/>
                <w:szCs w:val="18"/>
              </w:rPr>
              <w:t>80%以上</w:t>
            </w:r>
          </w:p>
        </w:tc>
      </w:tr>
    </w:tbl>
    <w:p>
      <w:pPr>
        <w:widowControl/>
        <w:jc w:val="left"/>
        <w:outlineLvl w:val="1"/>
        <w:rPr>
          <w:rFonts w:ascii="仿宋_GB2312" w:hAnsi="宋体" w:eastAsia="仿宋_GB2312"/>
          <w:color w:val="000000"/>
          <w:kern w:val="0"/>
          <w:sz w:val="30"/>
          <w:szCs w:val="30"/>
        </w:rPr>
      </w:pPr>
    </w:p>
    <w:p>
      <w:pPr>
        <w:widowControl/>
        <w:jc w:val="left"/>
        <w:outlineLvl w:val="1"/>
        <w:rPr>
          <w:rFonts w:ascii="仿宋_GB2312" w:hAnsi="宋体" w:eastAsia="仿宋_GB2312"/>
          <w:b/>
          <w:bCs/>
          <w:color w:val="000000"/>
          <w:kern w:val="0"/>
          <w:sz w:val="36"/>
          <w:szCs w:val="36"/>
        </w:rPr>
      </w:pPr>
      <w:r>
        <w:rPr>
          <w:rFonts w:hint="eastAsia" w:ascii="仿宋_GB2312" w:hAnsi="宋体" w:eastAsia="仿宋_GB2312"/>
          <w:b/>
          <w:bCs/>
          <w:color w:val="000000"/>
          <w:kern w:val="0"/>
          <w:sz w:val="36"/>
          <w:szCs w:val="36"/>
        </w:rPr>
        <w:t>吴忠市生态环境局利通分局2021年部门预算——2021年部门项目支出预算绩效目标表</w:t>
      </w:r>
    </w:p>
    <w:tbl>
      <w:tblPr>
        <w:tblStyle w:val="8"/>
        <w:tblW w:w="0" w:type="auto"/>
        <w:tblInd w:w="0" w:type="dxa"/>
        <w:tblLayout w:type="fixed"/>
        <w:tblCellMar>
          <w:top w:w="15" w:type="dxa"/>
          <w:left w:w="15" w:type="dxa"/>
          <w:bottom w:w="15" w:type="dxa"/>
          <w:right w:w="15" w:type="dxa"/>
        </w:tblCellMar>
      </w:tblPr>
      <w:tblGrid>
        <w:gridCol w:w="1132"/>
        <w:gridCol w:w="2015"/>
        <w:gridCol w:w="2171"/>
        <w:gridCol w:w="1322"/>
        <w:gridCol w:w="1848"/>
      </w:tblGrid>
      <w:tr>
        <w:tblPrEx>
          <w:tblCellMar>
            <w:top w:w="15" w:type="dxa"/>
            <w:left w:w="15" w:type="dxa"/>
            <w:bottom w:w="15" w:type="dxa"/>
            <w:right w:w="15" w:type="dxa"/>
          </w:tblCellMar>
        </w:tblPrEx>
        <w:trPr>
          <w:trHeight w:val="285" w:hRule="atLeast"/>
        </w:trPr>
        <w:tc>
          <w:tcPr>
            <w:tcW w:w="8488" w:type="dxa"/>
            <w:gridSpan w:val="5"/>
            <w:vAlign w:val="center"/>
          </w:tcPr>
          <w:p>
            <w:pPr>
              <w:widowControl/>
              <w:jc w:val="left"/>
              <w:textAlignment w:val="center"/>
              <w:rPr>
                <w:rFonts w:ascii="黑体" w:hAnsi="宋体" w:eastAsia="黑体" w:cs="黑体"/>
                <w:color w:val="000000"/>
                <w:sz w:val="16"/>
                <w:szCs w:val="16"/>
              </w:rPr>
            </w:pPr>
            <w:r>
              <w:rPr>
                <w:rFonts w:hint="eastAsia" w:ascii="黑体" w:hAnsi="宋体" w:eastAsia="黑体" w:cs="黑体"/>
                <w:color w:val="000000"/>
                <w:kern w:val="0"/>
                <w:sz w:val="16"/>
                <w:szCs w:val="16"/>
              </w:rPr>
              <w:t>附件</w:t>
            </w:r>
          </w:p>
        </w:tc>
      </w:tr>
      <w:tr>
        <w:tblPrEx>
          <w:tblCellMar>
            <w:top w:w="15" w:type="dxa"/>
            <w:left w:w="15" w:type="dxa"/>
            <w:bottom w:w="15" w:type="dxa"/>
            <w:right w:w="15" w:type="dxa"/>
          </w:tblCellMar>
        </w:tblPrEx>
        <w:trPr>
          <w:trHeight w:val="885" w:hRule="atLeast"/>
        </w:trPr>
        <w:tc>
          <w:tcPr>
            <w:tcW w:w="8488" w:type="dxa"/>
            <w:gridSpan w:val="5"/>
            <w:vAlign w:val="center"/>
          </w:tcPr>
          <w:p>
            <w:pPr>
              <w:widowControl/>
              <w:jc w:val="center"/>
              <w:textAlignment w:val="center"/>
              <w:rPr>
                <w:rFonts w:ascii="宋体" w:hAnsi="宋体" w:cs="宋体"/>
                <w:b/>
                <w:color w:val="000000"/>
                <w:sz w:val="40"/>
                <w:szCs w:val="40"/>
              </w:rPr>
            </w:pPr>
            <w:r>
              <w:rPr>
                <w:rFonts w:hint="eastAsia" w:ascii="宋体" w:hAnsi="宋体" w:cs="宋体"/>
                <w:b/>
                <w:color w:val="000000"/>
                <w:kern w:val="0"/>
                <w:sz w:val="28"/>
                <w:szCs w:val="28"/>
              </w:rPr>
              <w:t>2021年吴忠市本级部门项目支出预算绩效目标表</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项目名称</w:t>
            </w:r>
          </w:p>
        </w:tc>
        <w:tc>
          <w:tcPr>
            <w:tcW w:w="5341"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0"/>
              </w:rPr>
            </w:pPr>
            <w:r>
              <w:rPr>
                <w:rFonts w:hint="eastAsia" w:ascii="宋体" w:hAnsi="宋体" w:cs="宋体"/>
                <w:color w:val="000000"/>
                <w:sz w:val="20"/>
              </w:rPr>
              <w:t>环境保护工作经费</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主管部门</w:t>
            </w:r>
          </w:p>
        </w:tc>
        <w:tc>
          <w:tcPr>
            <w:tcW w:w="21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吴忠市生态环境局</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实施单位</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2021年</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项目属性</w:t>
            </w:r>
          </w:p>
        </w:tc>
        <w:tc>
          <w:tcPr>
            <w:tcW w:w="21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一年期项目</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项目期</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p>
        </w:tc>
      </w:tr>
      <w:tr>
        <w:tblPrEx>
          <w:tblCellMar>
            <w:top w:w="15" w:type="dxa"/>
            <w:left w:w="15" w:type="dxa"/>
            <w:bottom w:w="15" w:type="dxa"/>
            <w:right w:w="15" w:type="dxa"/>
          </w:tblCellMar>
        </w:tblPrEx>
        <w:trPr>
          <w:trHeight w:val="450" w:hRule="atLeast"/>
        </w:trPr>
        <w:tc>
          <w:tcPr>
            <w:tcW w:w="314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项目资金</w:t>
            </w:r>
            <w:r>
              <w:rPr>
                <w:rFonts w:hint="eastAsia" w:ascii="宋体" w:hAnsi="宋体" w:cs="宋体"/>
                <w:b/>
                <w:color w:val="000000"/>
                <w:kern w:val="0"/>
                <w:sz w:val="20"/>
              </w:rPr>
              <w:br w:type="textWrapping"/>
            </w:r>
            <w:r>
              <w:rPr>
                <w:rFonts w:hint="eastAsia" w:ascii="宋体" w:hAnsi="宋体" w:cs="宋体"/>
                <w:b/>
                <w:color w:val="000000"/>
                <w:kern w:val="0"/>
                <w:sz w:val="20"/>
              </w:rPr>
              <w:t>（万元）</w:t>
            </w: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年度资金总额</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20</w:t>
            </w: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其中：财政拨款</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20</w:t>
            </w: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xml:space="preserve">                   结余结转</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其他资金</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p>
        </w:tc>
      </w:tr>
      <w:tr>
        <w:tblPrEx>
          <w:tblCellMar>
            <w:top w:w="15" w:type="dxa"/>
            <w:left w:w="15" w:type="dxa"/>
            <w:bottom w:w="15" w:type="dxa"/>
            <w:right w:w="15" w:type="dxa"/>
          </w:tblCellMar>
        </w:tblPrEx>
        <w:trPr>
          <w:trHeight w:val="147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绩效目标</w:t>
            </w:r>
          </w:p>
        </w:tc>
        <w:tc>
          <w:tcPr>
            <w:tcW w:w="735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rPr>
            </w:pPr>
            <w:r>
              <w:rPr>
                <w:rFonts w:hint="eastAsia" w:ascii="宋体" w:hAnsi="宋体" w:cs="宋体"/>
                <w:color w:val="000000"/>
                <w:sz w:val="20"/>
              </w:rPr>
              <w:t>为打赢蓝天保卫战，持续改善生态环境，积极响应国家号召，加大对环境保护的宣传，特开展此项工作，主要用于环境保护法律法规宣传、大气及水体污染宣传等方面支出。</w:t>
            </w:r>
          </w:p>
        </w:tc>
      </w:tr>
      <w:tr>
        <w:tblPrEx>
          <w:tblCellMar>
            <w:top w:w="15" w:type="dxa"/>
            <w:left w:w="15" w:type="dxa"/>
            <w:bottom w:w="15" w:type="dxa"/>
            <w:right w:w="15" w:type="dxa"/>
          </w:tblCellMar>
        </w:tblPrEx>
        <w:trPr>
          <w:trHeight w:val="45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r>
      <w:tr>
        <w:tblPrEx>
          <w:tblCellMar>
            <w:top w:w="15" w:type="dxa"/>
            <w:left w:w="15" w:type="dxa"/>
            <w:bottom w:w="15" w:type="dxa"/>
            <w:right w:w="15" w:type="dxa"/>
          </w:tblCellMar>
        </w:tblPrEx>
        <w:trPr>
          <w:trHeight w:val="450"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1、产出指标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数量指标（必填硬性指标）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涵盖行政区域（个）</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1</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预算执行率</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90%以上</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项目完成时限（年）</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1</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成本指标（必填硬性指标）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投入成本费用（万元）</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w:t>
            </w:r>
          </w:p>
        </w:tc>
      </w:tr>
      <w:tr>
        <w:tblPrEx>
          <w:tblCellMar>
            <w:top w:w="15" w:type="dxa"/>
            <w:left w:w="15" w:type="dxa"/>
            <w:bottom w:w="15" w:type="dxa"/>
            <w:right w:w="15" w:type="dxa"/>
          </w:tblCellMar>
        </w:tblPrEx>
        <w:trPr>
          <w:trHeight w:val="450"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2、效益指标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利通区环境质量</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明显提升</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经济效益指标（选填）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项目持续发挥作用年限（年）</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1</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生态效益指标（选填）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p>
        </w:tc>
      </w:tr>
      <w:tr>
        <w:tblPrEx>
          <w:tblCellMar>
            <w:top w:w="15" w:type="dxa"/>
            <w:left w:w="15" w:type="dxa"/>
            <w:bottom w:w="15" w:type="dxa"/>
            <w:right w:w="15" w:type="dxa"/>
          </w:tblCellMar>
        </w:tblPrEx>
        <w:trPr>
          <w:trHeight w:val="45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3、满意度指标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群众满意度</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80%以上</w:t>
            </w:r>
          </w:p>
        </w:tc>
      </w:tr>
    </w:tbl>
    <w:p>
      <w:pPr>
        <w:widowControl/>
        <w:jc w:val="left"/>
        <w:outlineLvl w:val="1"/>
        <w:rPr>
          <w:rFonts w:ascii="仿宋_GB2312" w:hAnsi="宋体" w:eastAsia="仿宋_GB2312"/>
          <w:color w:val="000000"/>
          <w:kern w:val="0"/>
          <w:sz w:val="30"/>
          <w:szCs w:val="30"/>
        </w:rPr>
      </w:pPr>
    </w:p>
    <w:p>
      <w:pPr>
        <w:widowControl/>
        <w:jc w:val="center"/>
        <w:outlineLvl w:val="1"/>
        <w:rPr>
          <w:rFonts w:eastAsia="仿宋_GB2312"/>
          <w:b/>
          <w:bCs/>
          <w:color w:val="000000"/>
          <w:kern w:val="0"/>
          <w:sz w:val="36"/>
          <w:szCs w:val="36"/>
        </w:rPr>
      </w:pPr>
      <w:r>
        <w:rPr>
          <w:rFonts w:eastAsia="仿宋_GB2312"/>
          <w:b/>
          <w:bCs/>
          <w:color w:val="000000"/>
          <w:kern w:val="0"/>
          <w:sz w:val="36"/>
          <w:szCs w:val="36"/>
        </w:rPr>
        <w:t>吴忠市生态环境局红寺堡分局2021年部门预算——2021年部门项目支出预算绩效目标表</w:t>
      </w:r>
    </w:p>
    <w:p>
      <w:pPr>
        <w:widowControl/>
        <w:jc w:val="left"/>
        <w:outlineLvl w:val="1"/>
        <w:rPr>
          <w:rFonts w:eastAsia="仿宋_GB2312"/>
          <w:b/>
          <w:bCs/>
          <w:color w:val="000000"/>
          <w:kern w:val="0"/>
          <w:sz w:val="36"/>
          <w:szCs w:val="36"/>
        </w:rPr>
      </w:pPr>
    </w:p>
    <w:tbl>
      <w:tblPr>
        <w:tblStyle w:val="8"/>
        <w:tblW w:w="0" w:type="auto"/>
        <w:tblInd w:w="0" w:type="dxa"/>
        <w:tblLayout w:type="fixed"/>
        <w:tblCellMar>
          <w:top w:w="15" w:type="dxa"/>
          <w:left w:w="15" w:type="dxa"/>
          <w:bottom w:w="15" w:type="dxa"/>
          <w:right w:w="15" w:type="dxa"/>
        </w:tblCellMar>
      </w:tblPr>
      <w:tblGrid>
        <w:gridCol w:w="1132"/>
        <w:gridCol w:w="2015"/>
        <w:gridCol w:w="2171"/>
        <w:gridCol w:w="1322"/>
        <w:gridCol w:w="1848"/>
      </w:tblGrid>
      <w:tr>
        <w:tblPrEx>
          <w:tblCellMar>
            <w:top w:w="15" w:type="dxa"/>
            <w:left w:w="15" w:type="dxa"/>
            <w:bottom w:w="15" w:type="dxa"/>
            <w:right w:w="15" w:type="dxa"/>
          </w:tblCellMar>
        </w:tblPrEx>
        <w:trPr>
          <w:trHeight w:val="285" w:hRule="atLeast"/>
        </w:trPr>
        <w:tc>
          <w:tcPr>
            <w:tcW w:w="8488" w:type="dxa"/>
            <w:gridSpan w:val="5"/>
            <w:vAlign w:val="center"/>
          </w:tcPr>
          <w:p>
            <w:pPr>
              <w:widowControl/>
              <w:jc w:val="left"/>
              <w:textAlignment w:val="center"/>
              <w:rPr>
                <w:rFonts w:eastAsia="黑体"/>
                <w:color w:val="000000"/>
                <w:sz w:val="16"/>
                <w:szCs w:val="16"/>
              </w:rPr>
            </w:pPr>
            <w:r>
              <w:rPr>
                <w:rFonts w:eastAsia="黑体"/>
                <w:color w:val="000000"/>
                <w:kern w:val="0"/>
                <w:sz w:val="16"/>
                <w:szCs w:val="16"/>
              </w:rPr>
              <w:t>附件</w:t>
            </w:r>
          </w:p>
        </w:tc>
      </w:tr>
      <w:tr>
        <w:tblPrEx>
          <w:tblCellMar>
            <w:top w:w="15" w:type="dxa"/>
            <w:left w:w="15" w:type="dxa"/>
            <w:bottom w:w="15" w:type="dxa"/>
            <w:right w:w="15" w:type="dxa"/>
          </w:tblCellMar>
        </w:tblPrEx>
        <w:trPr>
          <w:trHeight w:val="885" w:hRule="atLeast"/>
        </w:trPr>
        <w:tc>
          <w:tcPr>
            <w:tcW w:w="8488" w:type="dxa"/>
            <w:gridSpan w:val="5"/>
            <w:vAlign w:val="center"/>
          </w:tcPr>
          <w:p>
            <w:pPr>
              <w:widowControl/>
              <w:jc w:val="center"/>
              <w:textAlignment w:val="center"/>
              <w:rPr>
                <w:b/>
                <w:color w:val="000000"/>
                <w:sz w:val="40"/>
                <w:szCs w:val="40"/>
              </w:rPr>
            </w:pPr>
            <w:r>
              <w:rPr>
                <w:b/>
                <w:color w:val="000000"/>
                <w:kern w:val="0"/>
                <w:sz w:val="28"/>
                <w:szCs w:val="28"/>
              </w:rPr>
              <w:t>2021年吴忠市本级部门项目支出预算绩效目标表</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0"/>
              </w:rPr>
            </w:pPr>
            <w:r>
              <w:rPr>
                <w:b/>
                <w:color w:val="000000"/>
                <w:kern w:val="0"/>
                <w:sz w:val="20"/>
              </w:rPr>
              <w:t>项目名称</w:t>
            </w:r>
          </w:p>
        </w:tc>
        <w:tc>
          <w:tcPr>
            <w:tcW w:w="5341"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0"/>
              </w:rPr>
            </w:pPr>
            <w:r>
              <w:rPr>
                <w:color w:val="000000"/>
                <w:sz w:val="20"/>
              </w:rPr>
              <w:t>环境执法监察经费</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0"/>
              </w:rPr>
            </w:pPr>
            <w:r>
              <w:rPr>
                <w:b/>
                <w:color w:val="000000"/>
                <w:kern w:val="0"/>
                <w:sz w:val="20"/>
              </w:rPr>
              <w:t>主管部门</w:t>
            </w:r>
          </w:p>
        </w:tc>
        <w:tc>
          <w:tcPr>
            <w:tcW w:w="217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r>
              <w:rPr>
                <w:color w:val="000000"/>
                <w:sz w:val="20"/>
              </w:rPr>
              <w:t>吴忠市生态环境局</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0"/>
              </w:rPr>
            </w:pPr>
            <w:r>
              <w:rPr>
                <w:b/>
                <w:color w:val="000000"/>
                <w:kern w:val="0"/>
                <w:sz w:val="20"/>
              </w:rPr>
              <w:t>实施单位</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r>
              <w:rPr>
                <w:color w:val="000000"/>
                <w:sz w:val="20"/>
              </w:rPr>
              <w:t>吴忠市生态环境局红寺堡分局</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0"/>
              </w:rPr>
            </w:pPr>
            <w:r>
              <w:rPr>
                <w:b/>
                <w:color w:val="000000"/>
                <w:kern w:val="0"/>
                <w:sz w:val="20"/>
              </w:rPr>
              <w:t>项目属性</w:t>
            </w:r>
          </w:p>
        </w:tc>
        <w:tc>
          <w:tcPr>
            <w:tcW w:w="2171"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r>
              <w:rPr>
                <w:color w:val="000000"/>
                <w:sz w:val="20"/>
              </w:rPr>
              <w:t>经常性项目</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0"/>
              </w:rPr>
            </w:pPr>
            <w:r>
              <w:rPr>
                <w:b/>
                <w:color w:val="000000"/>
                <w:kern w:val="0"/>
                <w:sz w:val="20"/>
              </w:rPr>
              <w:t>项目期</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r>
              <w:rPr>
                <w:color w:val="000000"/>
                <w:sz w:val="20"/>
              </w:rPr>
              <w:t>2021年-2021年</w:t>
            </w:r>
          </w:p>
        </w:tc>
      </w:tr>
      <w:tr>
        <w:tblPrEx>
          <w:tblCellMar>
            <w:top w:w="15" w:type="dxa"/>
            <w:left w:w="15" w:type="dxa"/>
            <w:bottom w:w="15" w:type="dxa"/>
            <w:right w:w="15" w:type="dxa"/>
          </w:tblCellMar>
        </w:tblPrEx>
        <w:trPr>
          <w:trHeight w:val="450" w:hRule="atLeast"/>
        </w:trPr>
        <w:tc>
          <w:tcPr>
            <w:tcW w:w="314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0"/>
              </w:rPr>
            </w:pPr>
            <w:r>
              <w:rPr>
                <w:b/>
                <w:color w:val="000000"/>
                <w:kern w:val="0"/>
                <w:sz w:val="20"/>
              </w:rPr>
              <w:t>项目资金</w:t>
            </w:r>
            <w:r>
              <w:rPr>
                <w:b/>
                <w:color w:val="000000"/>
                <w:kern w:val="0"/>
                <w:sz w:val="20"/>
              </w:rPr>
              <w:br w:type="textWrapping"/>
            </w:r>
            <w:r>
              <w:rPr>
                <w:b/>
                <w:color w:val="000000"/>
                <w:kern w:val="0"/>
                <w:sz w:val="20"/>
              </w:rPr>
              <w:t>（万元）</w:t>
            </w: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0"/>
              </w:rPr>
            </w:pPr>
            <w:r>
              <w:rPr>
                <w:b/>
                <w:color w:val="000000"/>
                <w:kern w:val="0"/>
                <w:sz w:val="20"/>
              </w:rPr>
              <w:t>年度资金总额</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r>
              <w:rPr>
                <w:color w:val="000000"/>
                <w:sz w:val="20"/>
              </w:rPr>
              <w:t>20.00</w:t>
            </w: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b/>
                <w:color w:val="000000"/>
                <w:sz w:val="20"/>
              </w:rPr>
            </w:pPr>
            <w:r>
              <w:rPr>
                <w:b/>
                <w:color w:val="000000"/>
                <w:kern w:val="0"/>
                <w:sz w:val="20"/>
              </w:rPr>
              <w:t>　　其中：财政拨款</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r>
              <w:rPr>
                <w:color w:val="000000"/>
                <w:sz w:val="20"/>
              </w:rPr>
              <w:t>20.00</w:t>
            </w: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b/>
                <w:color w:val="000000"/>
                <w:sz w:val="20"/>
              </w:rPr>
            </w:pPr>
            <w:r>
              <w:rPr>
                <w:b/>
                <w:color w:val="000000"/>
                <w:kern w:val="0"/>
                <w:sz w:val="20"/>
              </w:rPr>
              <w:t xml:space="preserve">       结余结转</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b/>
                <w:color w:val="000000"/>
                <w:sz w:val="20"/>
              </w:rPr>
            </w:pPr>
            <w:r>
              <w:rPr>
                <w:b/>
                <w:color w:val="000000"/>
                <w:kern w:val="0"/>
                <w:sz w:val="20"/>
              </w:rPr>
              <w:t>　　　　　　 其他资金</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p>
        </w:tc>
      </w:tr>
      <w:tr>
        <w:tblPrEx>
          <w:tblCellMar>
            <w:top w:w="15" w:type="dxa"/>
            <w:left w:w="15" w:type="dxa"/>
            <w:bottom w:w="15" w:type="dxa"/>
            <w:right w:w="15" w:type="dxa"/>
          </w:tblCellMar>
        </w:tblPrEx>
        <w:trPr>
          <w:trHeight w:val="147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20"/>
              </w:rPr>
            </w:pPr>
            <w:r>
              <w:rPr>
                <w:b/>
                <w:color w:val="000000"/>
                <w:kern w:val="0"/>
                <w:sz w:val="20"/>
              </w:rPr>
              <w:t>绩效目标</w:t>
            </w:r>
          </w:p>
        </w:tc>
        <w:tc>
          <w:tcPr>
            <w:tcW w:w="7356" w:type="dxa"/>
            <w:gridSpan w:val="4"/>
            <w:tcBorders>
              <w:top w:val="single" w:color="000000" w:sz="4" w:space="0"/>
              <w:left w:val="single" w:color="000000" w:sz="4" w:space="0"/>
              <w:bottom w:val="single" w:color="000000" w:sz="4" w:space="0"/>
              <w:right w:val="single" w:color="000000" w:sz="4" w:space="0"/>
            </w:tcBorders>
            <w:vAlign w:val="center"/>
          </w:tcPr>
          <w:p>
            <w:pPr>
              <w:jc w:val="left"/>
              <w:rPr>
                <w:color w:val="000000"/>
                <w:sz w:val="20"/>
              </w:rPr>
            </w:pPr>
            <w:r>
              <w:rPr>
                <w:color w:val="000000"/>
                <w:sz w:val="20"/>
              </w:rPr>
              <w:t>保障环境执法监察人员工作经费</w:t>
            </w:r>
          </w:p>
        </w:tc>
      </w:tr>
      <w:tr>
        <w:tblPrEx>
          <w:tblCellMar>
            <w:top w:w="15" w:type="dxa"/>
            <w:left w:w="15" w:type="dxa"/>
            <w:bottom w:w="15" w:type="dxa"/>
            <w:right w:w="15" w:type="dxa"/>
          </w:tblCellMar>
        </w:tblPrEx>
        <w:trPr>
          <w:trHeight w:val="45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18"/>
                <w:szCs w:val="18"/>
              </w:rPr>
            </w:pPr>
            <w:r>
              <w:rPr>
                <w:b/>
                <w:color w:val="000000"/>
                <w:kern w:val="0"/>
                <w:sz w:val="18"/>
                <w:szCs w:val="18"/>
              </w:rPr>
              <w:t>一级指标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18"/>
                <w:szCs w:val="18"/>
              </w:rPr>
            </w:pPr>
            <w:r>
              <w:rPr>
                <w:b/>
                <w:color w:val="000000"/>
                <w:kern w:val="0"/>
                <w:sz w:val="18"/>
                <w:szCs w:val="18"/>
              </w:rPr>
              <w:t>二级指标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18"/>
                <w:szCs w:val="18"/>
              </w:rPr>
            </w:pPr>
            <w:r>
              <w:rPr>
                <w:b/>
                <w:color w:val="000000"/>
                <w:kern w:val="0"/>
                <w:sz w:val="18"/>
                <w:szCs w:val="18"/>
              </w:rPr>
              <w:t>三级指标</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color w:val="000000"/>
                <w:sz w:val="18"/>
                <w:szCs w:val="18"/>
              </w:rPr>
            </w:pPr>
            <w:r>
              <w:rPr>
                <w:b/>
                <w:color w:val="000000"/>
                <w:kern w:val="0"/>
                <w:sz w:val="18"/>
                <w:szCs w:val="18"/>
              </w:rPr>
              <w:t>指标值</w:t>
            </w:r>
          </w:p>
        </w:tc>
      </w:tr>
      <w:tr>
        <w:tblPrEx>
          <w:tblCellMar>
            <w:top w:w="15" w:type="dxa"/>
            <w:left w:w="15" w:type="dxa"/>
            <w:bottom w:w="15" w:type="dxa"/>
            <w:right w:w="15" w:type="dxa"/>
          </w:tblCellMar>
        </w:tblPrEx>
        <w:trPr>
          <w:trHeight w:val="450"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rPr>
              <w:t>1、产出指标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rPr>
              <w:t>数量指标（必填硬性指标）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jc w:val="left"/>
              <w:rPr>
                <w:color w:val="000000"/>
                <w:sz w:val="18"/>
                <w:szCs w:val="18"/>
              </w:rPr>
            </w:pPr>
            <w:r>
              <w:rPr>
                <w:color w:val="000000"/>
                <w:sz w:val="18"/>
                <w:szCs w:val="18"/>
              </w:rPr>
              <w:t>环境监察人员工资保障</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left"/>
              <w:rPr>
                <w:color w:val="000000"/>
                <w:sz w:val="18"/>
                <w:szCs w:val="18"/>
              </w:rPr>
            </w:pPr>
            <w:r>
              <w:rPr>
                <w:color w:val="000000"/>
                <w:sz w:val="18"/>
                <w:szCs w:val="18"/>
              </w:rPr>
              <w:t>全部在编人员</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rPr>
              <w:t>质量指标（必填）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jc w:val="left"/>
              <w:rPr>
                <w:color w:val="000000"/>
                <w:sz w:val="18"/>
                <w:szCs w:val="18"/>
              </w:rPr>
            </w:pPr>
            <w:r>
              <w:rPr>
                <w:color w:val="000000"/>
                <w:sz w:val="18"/>
                <w:szCs w:val="18"/>
              </w:rPr>
              <w:t>满足监察人员工资</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left"/>
              <w:rPr>
                <w:color w:val="000000"/>
                <w:sz w:val="18"/>
                <w:szCs w:val="18"/>
              </w:rPr>
            </w:pPr>
            <w:r>
              <w:rPr>
                <w:color w:val="000000"/>
                <w:sz w:val="18"/>
                <w:szCs w:val="18"/>
              </w:rPr>
              <w:t>100%</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rPr>
              <w:t>时效指标（必填）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jc w:val="left"/>
              <w:rPr>
                <w:color w:val="000000"/>
                <w:sz w:val="18"/>
                <w:szCs w:val="18"/>
              </w:rPr>
            </w:pPr>
            <w:r>
              <w:rPr>
                <w:color w:val="000000"/>
                <w:sz w:val="18"/>
                <w:szCs w:val="18"/>
              </w:rPr>
              <w:t>2021年</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left"/>
              <w:rPr>
                <w:color w:val="000000"/>
                <w:sz w:val="18"/>
                <w:szCs w:val="18"/>
              </w:rPr>
            </w:pPr>
            <w:r>
              <w:rPr>
                <w:color w:val="000000"/>
                <w:sz w:val="18"/>
                <w:szCs w:val="18"/>
              </w:rPr>
              <w:t>保障工资及时发放</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rPr>
              <w:t>成本指标（必填硬性指标）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jc w:val="left"/>
              <w:rPr>
                <w:color w:val="000000"/>
                <w:sz w:val="18"/>
                <w:szCs w:val="18"/>
              </w:rPr>
            </w:pPr>
            <w:r>
              <w:rPr>
                <w:color w:val="000000"/>
                <w:sz w:val="18"/>
                <w:szCs w:val="18"/>
              </w:rPr>
              <w:t>保障工作</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left"/>
              <w:rPr>
                <w:color w:val="000000"/>
                <w:sz w:val="18"/>
                <w:szCs w:val="18"/>
              </w:rPr>
            </w:pPr>
            <w:r>
              <w:rPr>
                <w:color w:val="000000"/>
                <w:sz w:val="18"/>
                <w:szCs w:val="18"/>
              </w:rPr>
              <w:t>全额保障</w:t>
            </w:r>
          </w:p>
        </w:tc>
      </w:tr>
      <w:tr>
        <w:tblPrEx>
          <w:tblCellMar>
            <w:top w:w="15" w:type="dxa"/>
            <w:left w:w="15" w:type="dxa"/>
            <w:bottom w:w="15" w:type="dxa"/>
            <w:right w:w="15" w:type="dxa"/>
          </w:tblCellMar>
        </w:tblPrEx>
        <w:trPr>
          <w:trHeight w:val="450"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rPr>
              <w:t>2、效益指标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rPr>
              <w:t>社会效益指标（必填）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jc w:val="left"/>
              <w:rPr>
                <w:color w:val="000000"/>
                <w:sz w:val="18"/>
                <w:szCs w:val="18"/>
              </w:rPr>
            </w:pPr>
            <w:r>
              <w:rPr>
                <w:color w:val="000000"/>
                <w:sz w:val="18"/>
                <w:szCs w:val="18"/>
              </w:rPr>
              <w:t>环境保护</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left"/>
              <w:rPr>
                <w:color w:val="000000"/>
                <w:sz w:val="18"/>
                <w:szCs w:val="18"/>
              </w:rPr>
            </w:pPr>
            <w:r>
              <w:rPr>
                <w:color w:val="000000"/>
                <w:sz w:val="18"/>
                <w:szCs w:val="18"/>
              </w:rPr>
              <w:t>环境保护</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rPr>
              <w:t>经济效益指标（选填）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jc w:val="left"/>
              <w:rPr>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left"/>
              <w:rPr>
                <w:color w:val="000000"/>
                <w:sz w:val="18"/>
                <w:szCs w:val="18"/>
              </w:rPr>
            </w:pP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rPr>
              <w:t>可持续影响指标（必填）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jc w:val="left"/>
              <w:rPr>
                <w:color w:val="000000"/>
                <w:sz w:val="18"/>
                <w:szCs w:val="18"/>
              </w:rPr>
            </w:pPr>
            <w:r>
              <w:rPr>
                <w:color w:val="000000"/>
                <w:sz w:val="18"/>
                <w:szCs w:val="18"/>
              </w:rPr>
              <w:t>生态环境持续改善</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left"/>
              <w:rPr>
                <w:color w:val="000000"/>
                <w:sz w:val="18"/>
                <w:szCs w:val="18"/>
              </w:rPr>
            </w:pPr>
            <w:r>
              <w:rPr>
                <w:color w:val="000000"/>
                <w:sz w:val="18"/>
                <w:szCs w:val="18"/>
              </w:rPr>
              <w:t>加大环境保护工作力度</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rPr>
              <w:t>生态效益指标（选填）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jc w:val="left"/>
              <w:rPr>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left"/>
              <w:rPr>
                <w:color w:val="000000"/>
                <w:sz w:val="18"/>
                <w:szCs w:val="18"/>
              </w:rPr>
            </w:pPr>
          </w:p>
        </w:tc>
      </w:tr>
      <w:tr>
        <w:tblPrEx>
          <w:tblCellMar>
            <w:top w:w="15" w:type="dxa"/>
            <w:left w:w="15" w:type="dxa"/>
            <w:bottom w:w="15" w:type="dxa"/>
            <w:right w:w="15" w:type="dxa"/>
          </w:tblCellMar>
        </w:tblPrEx>
        <w:trPr>
          <w:trHeight w:val="45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rPr>
              <w:t>3、满意度指标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18"/>
                <w:szCs w:val="18"/>
              </w:rPr>
            </w:pPr>
            <w:r>
              <w:rPr>
                <w:color w:val="000000"/>
                <w:kern w:val="0"/>
                <w:sz w:val="18"/>
                <w:szCs w:val="18"/>
              </w:rPr>
              <w:t>服务对象满意度指标（必填）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jc w:val="left"/>
              <w:rPr>
                <w:color w:val="000000"/>
                <w:sz w:val="18"/>
                <w:szCs w:val="18"/>
              </w:rPr>
            </w:pPr>
            <w:r>
              <w:rPr>
                <w:color w:val="000000"/>
                <w:sz w:val="18"/>
                <w:szCs w:val="18"/>
              </w:rPr>
              <w:t>群众满意</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left"/>
              <w:rPr>
                <w:color w:val="000000"/>
                <w:sz w:val="18"/>
                <w:szCs w:val="18"/>
              </w:rPr>
            </w:pPr>
            <w:r>
              <w:rPr>
                <w:color w:val="000000"/>
                <w:sz w:val="18"/>
                <w:szCs w:val="18"/>
              </w:rPr>
              <w:t>100.005</w:t>
            </w:r>
          </w:p>
        </w:tc>
      </w:tr>
    </w:tbl>
    <w:p>
      <w:pPr>
        <w:widowControl/>
        <w:jc w:val="left"/>
        <w:outlineLvl w:val="1"/>
        <w:rPr>
          <w:rFonts w:eastAsia="仿宋_GB2312"/>
          <w:color w:val="000000"/>
          <w:kern w:val="0"/>
          <w:sz w:val="30"/>
          <w:szCs w:val="30"/>
        </w:rPr>
      </w:pPr>
    </w:p>
    <w:p>
      <w:pPr>
        <w:widowControl/>
        <w:jc w:val="left"/>
        <w:outlineLvl w:val="1"/>
        <w:rPr>
          <w:rFonts w:ascii="仿宋_GB2312" w:hAnsi="宋体" w:eastAsia="仿宋_GB2312"/>
          <w:b/>
          <w:bCs/>
          <w:color w:val="000000"/>
          <w:kern w:val="0"/>
          <w:sz w:val="36"/>
          <w:szCs w:val="36"/>
        </w:rPr>
      </w:pPr>
      <w:r>
        <w:rPr>
          <w:rFonts w:hint="eastAsia" w:ascii="仿宋_GB2312" w:hAnsi="宋体" w:eastAsia="仿宋_GB2312"/>
          <w:b/>
          <w:bCs/>
          <w:color w:val="000000"/>
          <w:kern w:val="0"/>
          <w:sz w:val="36"/>
          <w:szCs w:val="36"/>
        </w:rPr>
        <w:t>吴忠市生态环境局青铜峡分局2021年部门预算——2021年部门项目支出预算绩效目标表</w:t>
      </w:r>
    </w:p>
    <w:tbl>
      <w:tblPr>
        <w:tblStyle w:val="8"/>
        <w:tblW w:w="0" w:type="auto"/>
        <w:tblInd w:w="0" w:type="dxa"/>
        <w:tblLayout w:type="fixed"/>
        <w:tblCellMar>
          <w:top w:w="15" w:type="dxa"/>
          <w:left w:w="15" w:type="dxa"/>
          <w:bottom w:w="15" w:type="dxa"/>
          <w:right w:w="15" w:type="dxa"/>
        </w:tblCellMar>
      </w:tblPr>
      <w:tblGrid>
        <w:gridCol w:w="1132"/>
        <w:gridCol w:w="2015"/>
        <w:gridCol w:w="2171"/>
        <w:gridCol w:w="1322"/>
        <w:gridCol w:w="1848"/>
      </w:tblGrid>
      <w:tr>
        <w:tblPrEx>
          <w:tblCellMar>
            <w:top w:w="15" w:type="dxa"/>
            <w:left w:w="15" w:type="dxa"/>
            <w:bottom w:w="15" w:type="dxa"/>
            <w:right w:w="15" w:type="dxa"/>
          </w:tblCellMar>
        </w:tblPrEx>
        <w:trPr>
          <w:trHeight w:val="285" w:hRule="atLeast"/>
        </w:trPr>
        <w:tc>
          <w:tcPr>
            <w:tcW w:w="8488" w:type="dxa"/>
            <w:gridSpan w:val="5"/>
            <w:vAlign w:val="center"/>
          </w:tcPr>
          <w:p>
            <w:pPr>
              <w:widowControl/>
              <w:jc w:val="left"/>
              <w:textAlignment w:val="center"/>
              <w:rPr>
                <w:rFonts w:ascii="黑体" w:hAnsi="宋体" w:eastAsia="黑体" w:cs="黑体"/>
                <w:color w:val="000000"/>
                <w:sz w:val="16"/>
                <w:szCs w:val="16"/>
              </w:rPr>
            </w:pPr>
            <w:r>
              <w:rPr>
                <w:rFonts w:hint="eastAsia" w:ascii="黑体" w:hAnsi="宋体" w:eastAsia="黑体" w:cs="黑体"/>
                <w:color w:val="000000"/>
                <w:kern w:val="0"/>
                <w:sz w:val="16"/>
                <w:szCs w:val="16"/>
              </w:rPr>
              <w:t>附件</w:t>
            </w:r>
          </w:p>
        </w:tc>
      </w:tr>
      <w:tr>
        <w:tblPrEx>
          <w:tblCellMar>
            <w:top w:w="15" w:type="dxa"/>
            <w:left w:w="15" w:type="dxa"/>
            <w:bottom w:w="15" w:type="dxa"/>
            <w:right w:w="15" w:type="dxa"/>
          </w:tblCellMar>
        </w:tblPrEx>
        <w:trPr>
          <w:trHeight w:val="885" w:hRule="atLeast"/>
        </w:trPr>
        <w:tc>
          <w:tcPr>
            <w:tcW w:w="8488" w:type="dxa"/>
            <w:gridSpan w:val="5"/>
            <w:vAlign w:val="center"/>
          </w:tcPr>
          <w:p>
            <w:pPr>
              <w:widowControl/>
              <w:jc w:val="center"/>
              <w:textAlignment w:val="center"/>
              <w:rPr>
                <w:rFonts w:ascii="宋体" w:hAnsi="宋体" w:cs="宋体"/>
                <w:b/>
                <w:color w:val="000000"/>
                <w:sz w:val="40"/>
                <w:szCs w:val="40"/>
              </w:rPr>
            </w:pPr>
            <w:r>
              <w:rPr>
                <w:rFonts w:hint="eastAsia" w:ascii="宋体" w:hAnsi="宋体" w:cs="宋体"/>
                <w:b/>
                <w:color w:val="000000"/>
                <w:kern w:val="0"/>
                <w:sz w:val="28"/>
                <w:szCs w:val="28"/>
              </w:rPr>
              <w:t>2021年吴忠市本级部门项目支出预算绩效目标表</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项目名称</w:t>
            </w:r>
          </w:p>
        </w:tc>
        <w:tc>
          <w:tcPr>
            <w:tcW w:w="5341"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 w:val="24"/>
                <w:szCs w:val="24"/>
              </w:rPr>
            </w:pPr>
            <w:r>
              <w:rPr>
                <w:rFonts w:hint="eastAsia" w:ascii="宋体" w:hAnsi="宋体" w:cs="宋体"/>
                <w:color w:val="000000"/>
                <w:sz w:val="20"/>
              </w:rPr>
              <w:t>青铜峡生态执法大队及环境监测站共计17名差额人员工资及社保</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主管部门</w:t>
            </w:r>
          </w:p>
        </w:tc>
        <w:tc>
          <w:tcPr>
            <w:tcW w:w="21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吴忠市生态环境局</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实施单位</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青铜峡分局</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项目属性</w:t>
            </w:r>
          </w:p>
        </w:tc>
        <w:tc>
          <w:tcPr>
            <w:tcW w:w="21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经常性项目</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项目期</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2021年</w:t>
            </w:r>
          </w:p>
        </w:tc>
      </w:tr>
      <w:tr>
        <w:tblPrEx>
          <w:tblCellMar>
            <w:top w:w="15" w:type="dxa"/>
            <w:left w:w="15" w:type="dxa"/>
            <w:bottom w:w="15" w:type="dxa"/>
            <w:right w:w="15" w:type="dxa"/>
          </w:tblCellMar>
        </w:tblPrEx>
        <w:trPr>
          <w:trHeight w:val="450" w:hRule="atLeast"/>
        </w:trPr>
        <w:tc>
          <w:tcPr>
            <w:tcW w:w="314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项目资金</w:t>
            </w:r>
            <w:r>
              <w:rPr>
                <w:rFonts w:hint="eastAsia" w:ascii="宋体" w:hAnsi="宋体" w:cs="宋体"/>
                <w:b/>
                <w:color w:val="000000"/>
                <w:kern w:val="0"/>
                <w:sz w:val="20"/>
              </w:rPr>
              <w:br w:type="textWrapping"/>
            </w:r>
            <w:r>
              <w:rPr>
                <w:rFonts w:hint="eastAsia" w:ascii="宋体" w:hAnsi="宋体" w:cs="宋体"/>
                <w:b/>
                <w:color w:val="000000"/>
                <w:kern w:val="0"/>
                <w:sz w:val="20"/>
              </w:rPr>
              <w:t>（万元）</w:t>
            </w: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年度资金总额</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292</w:t>
            </w: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其中：财政拨款</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292</w:t>
            </w: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结余结转</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0</w:t>
            </w: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其他资金</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0</w:t>
            </w:r>
          </w:p>
        </w:tc>
      </w:tr>
      <w:tr>
        <w:tblPrEx>
          <w:tblCellMar>
            <w:top w:w="15" w:type="dxa"/>
            <w:left w:w="15" w:type="dxa"/>
            <w:bottom w:w="15" w:type="dxa"/>
            <w:right w:w="15" w:type="dxa"/>
          </w:tblCellMar>
        </w:tblPrEx>
        <w:trPr>
          <w:trHeight w:val="147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绩效目标</w:t>
            </w:r>
          </w:p>
        </w:tc>
        <w:tc>
          <w:tcPr>
            <w:tcW w:w="735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rPr>
            </w:pPr>
            <w:r>
              <w:rPr>
                <w:rFonts w:hint="eastAsia" w:ascii="宋体" w:hAnsi="宋体" w:cs="宋体"/>
                <w:color w:val="000000"/>
                <w:sz w:val="20"/>
              </w:rPr>
              <w:t>环境保护事业单位青铜峡生态执法大队及环境监测站共计17名差额人员工资奖金及社保支出，保障职工工资及福利。</w:t>
            </w:r>
          </w:p>
        </w:tc>
      </w:tr>
      <w:tr>
        <w:tblPrEx>
          <w:tblCellMar>
            <w:top w:w="15" w:type="dxa"/>
            <w:left w:w="15" w:type="dxa"/>
            <w:bottom w:w="15" w:type="dxa"/>
            <w:right w:w="15" w:type="dxa"/>
          </w:tblCellMar>
        </w:tblPrEx>
        <w:trPr>
          <w:trHeight w:val="45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r>
      <w:tr>
        <w:tblPrEx>
          <w:tblCellMar>
            <w:top w:w="15" w:type="dxa"/>
            <w:left w:w="15" w:type="dxa"/>
            <w:bottom w:w="15" w:type="dxa"/>
            <w:right w:w="15" w:type="dxa"/>
          </w:tblCellMar>
        </w:tblPrEx>
        <w:trPr>
          <w:trHeight w:val="450"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1、产出指标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数量指标（必填硬性指标）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kern w:val="0"/>
                <w:sz w:val="18"/>
                <w:szCs w:val="18"/>
              </w:rPr>
            </w:pPr>
            <w:r>
              <w:rPr>
                <w:rFonts w:ascii="宋体" w:hAnsi="宋体" w:cs="宋体"/>
                <w:color w:val="000000"/>
                <w:kern w:val="0"/>
                <w:sz w:val="18"/>
                <w:szCs w:val="18"/>
              </w:rPr>
              <w:t>差额人员1</w:t>
            </w:r>
            <w:r>
              <w:rPr>
                <w:rFonts w:hint="eastAsia" w:ascii="宋体" w:hAnsi="宋体" w:cs="宋体"/>
                <w:color w:val="000000"/>
                <w:kern w:val="0"/>
                <w:sz w:val="18"/>
                <w:szCs w:val="18"/>
              </w:rPr>
              <w:t>7</w:t>
            </w:r>
            <w:r>
              <w:rPr>
                <w:rFonts w:ascii="宋体" w:hAnsi="宋体" w:cs="宋体"/>
                <w:color w:val="000000"/>
                <w:kern w:val="0"/>
                <w:sz w:val="18"/>
                <w:szCs w:val="18"/>
              </w:rPr>
              <w:t>人</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100%</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kern w:val="0"/>
                <w:sz w:val="18"/>
                <w:szCs w:val="18"/>
              </w:rPr>
            </w:pPr>
            <w:r>
              <w:rPr>
                <w:rFonts w:ascii="宋体" w:hAnsi="宋体" w:cs="宋体"/>
                <w:color w:val="000000"/>
                <w:kern w:val="0"/>
                <w:sz w:val="18"/>
                <w:szCs w:val="18"/>
              </w:rPr>
              <w:t>差额人员工资及福利率</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100%</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kern w:val="0"/>
                <w:sz w:val="18"/>
                <w:szCs w:val="18"/>
              </w:rPr>
            </w:pPr>
            <w:r>
              <w:rPr>
                <w:rFonts w:ascii="宋体" w:hAnsi="宋体" w:cs="宋体"/>
                <w:color w:val="000000"/>
                <w:kern w:val="0"/>
                <w:sz w:val="18"/>
                <w:szCs w:val="18"/>
              </w:rPr>
              <w:t>项目有交效时限（年）</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1</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成本指标（必填硬性指标）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kern w:val="0"/>
                <w:sz w:val="18"/>
                <w:szCs w:val="18"/>
              </w:rPr>
            </w:pPr>
            <w:r>
              <w:rPr>
                <w:rFonts w:ascii="宋体" w:hAnsi="宋体" w:cs="宋体"/>
                <w:color w:val="000000"/>
                <w:kern w:val="0"/>
                <w:sz w:val="18"/>
                <w:szCs w:val="18"/>
              </w:rPr>
              <w:t>投入成本费用（万元）</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292</w:t>
            </w:r>
          </w:p>
        </w:tc>
      </w:tr>
      <w:tr>
        <w:tblPrEx>
          <w:tblCellMar>
            <w:top w:w="15" w:type="dxa"/>
            <w:left w:w="15" w:type="dxa"/>
            <w:bottom w:w="15" w:type="dxa"/>
            <w:right w:w="15" w:type="dxa"/>
          </w:tblCellMar>
        </w:tblPrEx>
        <w:trPr>
          <w:trHeight w:val="450"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2、效益指标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kern w:val="0"/>
                <w:sz w:val="18"/>
                <w:szCs w:val="18"/>
              </w:rPr>
            </w:pPr>
            <w:r>
              <w:rPr>
                <w:rFonts w:ascii="宋体" w:hAnsi="宋体" w:cs="宋体"/>
                <w:color w:val="000000"/>
                <w:kern w:val="0"/>
                <w:sz w:val="18"/>
                <w:szCs w:val="18"/>
              </w:rPr>
              <w:t>为更好的促进环境保护事业发展</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100%</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经济效益指标（选填）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kern w:val="0"/>
                <w:sz w:val="18"/>
                <w:szCs w:val="18"/>
              </w:rP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kern w:val="0"/>
                <w:sz w:val="18"/>
                <w:szCs w:val="18"/>
              </w:rPr>
            </w:pPr>
            <w:r>
              <w:rPr>
                <w:rFonts w:ascii="宋体" w:hAnsi="宋体" w:cs="宋体"/>
                <w:color w:val="000000"/>
                <w:kern w:val="0"/>
                <w:sz w:val="18"/>
                <w:szCs w:val="18"/>
              </w:rPr>
              <w:t>差额人员工资及社保</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1</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生态效益指标（选填）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kern w:val="0"/>
                <w:sz w:val="18"/>
                <w:szCs w:val="18"/>
              </w:rP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p>
        </w:tc>
      </w:tr>
      <w:tr>
        <w:tblPrEx>
          <w:tblCellMar>
            <w:top w:w="15" w:type="dxa"/>
            <w:left w:w="15" w:type="dxa"/>
            <w:bottom w:w="15" w:type="dxa"/>
            <w:right w:w="15" w:type="dxa"/>
          </w:tblCellMar>
        </w:tblPrEx>
        <w:trPr>
          <w:trHeight w:val="45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3、满意度指标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kern w:val="0"/>
                <w:sz w:val="18"/>
                <w:szCs w:val="18"/>
              </w:rPr>
            </w:pPr>
            <w:r>
              <w:rPr>
                <w:rFonts w:ascii="宋体" w:hAnsi="宋体" w:cs="宋体"/>
                <w:color w:val="000000"/>
                <w:kern w:val="0"/>
                <w:sz w:val="18"/>
                <w:szCs w:val="18"/>
              </w:rPr>
              <w:t>服务满意度</w:t>
            </w:r>
          </w:p>
        </w:tc>
        <w:tc>
          <w:tcPr>
            <w:tcW w:w="184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color w:val="000000"/>
                <w:sz w:val="18"/>
                <w:szCs w:val="18"/>
              </w:rPr>
            </w:pPr>
            <w:r>
              <w:rPr>
                <w:rFonts w:hint="eastAsia" w:ascii="宋体" w:hAnsi="宋体" w:cs="宋体"/>
                <w:color w:val="000000"/>
                <w:sz w:val="18"/>
                <w:szCs w:val="18"/>
              </w:rPr>
              <w:t>100%</w:t>
            </w:r>
          </w:p>
        </w:tc>
      </w:tr>
    </w:tbl>
    <w:p>
      <w:pPr>
        <w:widowControl/>
        <w:jc w:val="left"/>
        <w:outlineLvl w:val="1"/>
        <w:rPr>
          <w:rFonts w:ascii="仿宋_GB2312" w:hAnsi="宋体" w:eastAsia="仿宋_GB2312"/>
          <w:color w:val="000000"/>
          <w:kern w:val="0"/>
          <w:sz w:val="30"/>
          <w:szCs w:val="30"/>
        </w:rPr>
      </w:pPr>
    </w:p>
    <w:tbl>
      <w:tblPr>
        <w:tblStyle w:val="8"/>
        <w:tblW w:w="0" w:type="auto"/>
        <w:tblInd w:w="0" w:type="dxa"/>
        <w:tblLayout w:type="fixed"/>
        <w:tblCellMar>
          <w:top w:w="15" w:type="dxa"/>
          <w:left w:w="15" w:type="dxa"/>
          <w:bottom w:w="15" w:type="dxa"/>
          <w:right w:w="15" w:type="dxa"/>
        </w:tblCellMar>
      </w:tblPr>
      <w:tblGrid>
        <w:gridCol w:w="1132"/>
        <w:gridCol w:w="2015"/>
        <w:gridCol w:w="2171"/>
        <w:gridCol w:w="1322"/>
        <w:gridCol w:w="1848"/>
      </w:tblGrid>
      <w:tr>
        <w:tblPrEx>
          <w:tblCellMar>
            <w:top w:w="15" w:type="dxa"/>
            <w:left w:w="15" w:type="dxa"/>
            <w:bottom w:w="15" w:type="dxa"/>
            <w:right w:w="15" w:type="dxa"/>
          </w:tblCellMar>
        </w:tblPrEx>
        <w:trPr>
          <w:trHeight w:val="285" w:hRule="atLeast"/>
        </w:trPr>
        <w:tc>
          <w:tcPr>
            <w:tcW w:w="8488" w:type="dxa"/>
            <w:gridSpan w:val="5"/>
            <w:vAlign w:val="center"/>
          </w:tcPr>
          <w:p>
            <w:pPr>
              <w:widowControl/>
              <w:jc w:val="left"/>
              <w:textAlignment w:val="center"/>
              <w:rPr>
                <w:rFonts w:ascii="黑体" w:hAnsi="宋体" w:eastAsia="黑体" w:cs="黑体"/>
                <w:color w:val="000000"/>
                <w:sz w:val="16"/>
                <w:szCs w:val="16"/>
              </w:rPr>
            </w:pPr>
            <w:r>
              <w:rPr>
                <w:rFonts w:hint="eastAsia" w:ascii="黑体" w:hAnsi="宋体" w:eastAsia="黑体" w:cs="黑体"/>
                <w:color w:val="000000"/>
                <w:kern w:val="0"/>
                <w:sz w:val="16"/>
                <w:szCs w:val="16"/>
              </w:rPr>
              <w:t>附件</w:t>
            </w:r>
          </w:p>
        </w:tc>
      </w:tr>
      <w:tr>
        <w:tblPrEx>
          <w:tblCellMar>
            <w:top w:w="15" w:type="dxa"/>
            <w:left w:w="15" w:type="dxa"/>
            <w:bottom w:w="15" w:type="dxa"/>
            <w:right w:w="15" w:type="dxa"/>
          </w:tblCellMar>
        </w:tblPrEx>
        <w:trPr>
          <w:trHeight w:val="885" w:hRule="atLeast"/>
        </w:trPr>
        <w:tc>
          <w:tcPr>
            <w:tcW w:w="8488" w:type="dxa"/>
            <w:gridSpan w:val="5"/>
            <w:vAlign w:val="center"/>
          </w:tcPr>
          <w:p>
            <w:pPr>
              <w:widowControl/>
              <w:jc w:val="center"/>
              <w:textAlignment w:val="center"/>
              <w:rPr>
                <w:rFonts w:ascii="宋体" w:hAnsi="宋体" w:cs="宋体"/>
                <w:b/>
                <w:color w:val="000000"/>
                <w:sz w:val="40"/>
                <w:szCs w:val="40"/>
              </w:rPr>
            </w:pPr>
            <w:r>
              <w:rPr>
                <w:rFonts w:hint="eastAsia" w:ascii="宋体" w:hAnsi="宋体" w:cs="宋体"/>
                <w:b/>
                <w:color w:val="000000"/>
                <w:kern w:val="0"/>
                <w:sz w:val="28"/>
                <w:szCs w:val="28"/>
              </w:rPr>
              <w:t>2021年吴忠市本级部门项目支出预算绩效目标表</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项目名称</w:t>
            </w:r>
          </w:p>
        </w:tc>
        <w:tc>
          <w:tcPr>
            <w:tcW w:w="5341"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仿宋_GB2312" w:hAnsi="宋体" w:eastAsia="仿宋_GB2312" w:cs="宋体"/>
                <w:color w:val="000000"/>
                <w:kern w:val="0"/>
                <w:szCs w:val="21"/>
              </w:rPr>
              <w:t>环境保护执法经费</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主管部门</w:t>
            </w:r>
          </w:p>
        </w:tc>
        <w:tc>
          <w:tcPr>
            <w:tcW w:w="21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吴忠市生态环境局</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实施单位</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青铜峡分局</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项目属性</w:t>
            </w:r>
          </w:p>
        </w:tc>
        <w:tc>
          <w:tcPr>
            <w:tcW w:w="21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经常性项目</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项目期</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2021年</w:t>
            </w:r>
          </w:p>
        </w:tc>
      </w:tr>
      <w:tr>
        <w:tblPrEx>
          <w:tblCellMar>
            <w:top w:w="15" w:type="dxa"/>
            <w:left w:w="15" w:type="dxa"/>
            <w:bottom w:w="15" w:type="dxa"/>
            <w:right w:w="15" w:type="dxa"/>
          </w:tblCellMar>
        </w:tblPrEx>
        <w:trPr>
          <w:trHeight w:val="450" w:hRule="atLeast"/>
        </w:trPr>
        <w:tc>
          <w:tcPr>
            <w:tcW w:w="314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项目资金</w:t>
            </w:r>
            <w:r>
              <w:rPr>
                <w:rFonts w:hint="eastAsia" w:ascii="宋体" w:hAnsi="宋体" w:cs="宋体"/>
                <w:b/>
                <w:color w:val="000000"/>
                <w:kern w:val="0"/>
                <w:sz w:val="20"/>
              </w:rPr>
              <w:br w:type="textWrapping"/>
            </w:r>
            <w:r>
              <w:rPr>
                <w:rFonts w:hint="eastAsia" w:ascii="宋体" w:hAnsi="宋体" w:cs="宋体"/>
                <w:b/>
                <w:color w:val="000000"/>
                <w:kern w:val="0"/>
                <w:sz w:val="20"/>
              </w:rPr>
              <w:t>（万元）</w:t>
            </w: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年度资金总额</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50</w:t>
            </w: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其中：财政拨款</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50</w:t>
            </w: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结余结转</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0</w:t>
            </w: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其他资金</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0</w:t>
            </w:r>
          </w:p>
        </w:tc>
      </w:tr>
      <w:tr>
        <w:tblPrEx>
          <w:tblCellMar>
            <w:top w:w="15" w:type="dxa"/>
            <w:left w:w="15" w:type="dxa"/>
            <w:bottom w:w="15" w:type="dxa"/>
            <w:right w:w="15" w:type="dxa"/>
          </w:tblCellMar>
        </w:tblPrEx>
        <w:trPr>
          <w:trHeight w:val="147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绩效目标</w:t>
            </w:r>
          </w:p>
        </w:tc>
        <w:tc>
          <w:tcPr>
            <w:tcW w:w="735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rPr>
            </w:pPr>
            <w:r>
              <w:rPr>
                <w:rFonts w:hint="eastAsia" w:ascii="宋体" w:hAnsi="宋体" w:cs="宋体"/>
                <w:color w:val="000000"/>
                <w:sz w:val="20"/>
              </w:rPr>
              <w:t>促进生态文明环境保护发展人员工资保障经费。</w:t>
            </w:r>
          </w:p>
        </w:tc>
      </w:tr>
      <w:tr>
        <w:tblPrEx>
          <w:tblCellMar>
            <w:top w:w="15" w:type="dxa"/>
            <w:left w:w="15" w:type="dxa"/>
            <w:bottom w:w="15" w:type="dxa"/>
            <w:right w:w="15" w:type="dxa"/>
          </w:tblCellMar>
        </w:tblPrEx>
        <w:trPr>
          <w:trHeight w:val="45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r>
      <w:tr>
        <w:tblPrEx>
          <w:tblCellMar>
            <w:top w:w="15" w:type="dxa"/>
            <w:left w:w="15" w:type="dxa"/>
            <w:bottom w:w="15" w:type="dxa"/>
            <w:right w:w="15" w:type="dxa"/>
          </w:tblCellMar>
        </w:tblPrEx>
        <w:trPr>
          <w:trHeight w:val="450"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1、产出指标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数量指标（必填硬性指标）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kern w:val="0"/>
                <w:sz w:val="18"/>
                <w:szCs w:val="18"/>
              </w:rPr>
            </w:pPr>
            <w:r>
              <w:rPr>
                <w:rFonts w:ascii="宋体" w:hAnsi="宋体" w:cs="宋体"/>
                <w:color w:val="000000"/>
                <w:kern w:val="0"/>
                <w:sz w:val="18"/>
                <w:szCs w:val="18"/>
              </w:rPr>
              <w:t>事业差额人员17人</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100%</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kern w:val="0"/>
                <w:sz w:val="18"/>
                <w:szCs w:val="18"/>
              </w:rPr>
            </w:pPr>
            <w:r>
              <w:rPr>
                <w:rFonts w:ascii="宋体" w:hAnsi="宋体" w:cs="宋体"/>
                <w:color w:val="000000"/>
                <w:kern w:val="0"/>
                <w:sz w:val="18"/>
                <w:szCs w:val="18"/>
              </w:rPr>
              <w:t>工资发放率</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100%</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kern w:val="0"/>
                <w:sz w:val="18"/>
                <w:szCs w:val="18"/>
              </w:rPr>
            </w:pPr>
            <w:r>
              <w:rPr>
                <w:rFonts w:ascii="宋体" w:hAnsi="宋体" w:cs="宋体"/>
                <w:color w:val="000000"/>
                <w:kern w:val="0"/>
                <w:sz w:val="18"/>
                <w:szCs w:val="18"/>
              </w:rPr>
              <w:t>差额人员工资福利等其他支出(年）</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1</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成本指标（必填硬性指标）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kern w:val="0"/>
                <w:sz w:val="18"/>
                <w:szCs w:val="18"/>
              </w:rPr>
            </w:pPr>
            <w:r>
              <w:rPr>
                <w:rFonts w:ascii="宋体" w:hAnsi="宋体" w:cs="宋体"/>
                <w:color w:val="000000"/>
                <w:kern w:val="0"/>
                <w:sz w:val="18"/>
                <w:szCs w:val="18"/>
              </w:rPr>
              <w:t>差额人员工资福利及其它性支出（万元）</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50</w:t>
            </w:r>
          </w:p>
        </w:tc>
      </w:tr>
      <w:tr>
        <w:tblPrEx>
          <w:tblCellMar>
            <w:top w:w="15" w:type="dxa"/>
            <w:left w:w="15" w:type="dxa"/>
            <w:bottom w:w="15" w:type="dxa"/>
            <w:right w:w="15" w:type="dxa"/>
          </w:tblCellMar>
        </w:tblPrEx>
        <w:trPr>
          <w:trHeight w:val="450"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2、效益指标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kern w:val="0"/>
                <w:sz w:val="18"/>
                <w:szCs w:val="18"/>
              </w:rPr>
            </w:pPr>
            <w:r>
              <w:rPr>
                <w:rFonts w:ascii="宋体" w:hAnsi="宋体" w:cs="宋体"/>
                <w:color w:val="000000"/>
                <w:kern w:val="0"/>
                <w:sz w:val="18"/>
                <w:szCs w:val="18"/>
              </w:rPr>
              <w:t>保障人员工资福利及其他支出</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100%</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经济效益指标（选填）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kern w:val="0"/>
                <w:sz w:val="18"/>
                <w:szCs w:val="18"/>
              </w:rP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kern w:val="0"/>
                <w:sz w:val="18"/>
                <w:szCs w:val="18"/>
              </w:rPr>
            </w:pPr>
            <w:r>
              <w:rPr>
                <w:rFonts w:ascii="宋体" w:hAnsi="宋体" w:cs="宋体"/>
                <w:color w:val="000000"/>
                <w:kern w:val="0"/>
                <w:sz w:val="18"/>
                <w:szCs w:val="18"/>
              </w:rPr>
              <w:t>有效推动环境保护工作</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100%</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生态效益指标（选填）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kern w:val="0"/>
                <w:sz w:val="18"/>
                <w:szCs w:val="18"/>
              </w:rP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p>
        </w:tc>
      </w:tr>
      <w:tr>
        <w:tblPrEx>
          <w:tblCellMar>
            <w:top w:w="15" w:type="dxa"/>
            <w:left w:w="15" w:type="dxa"/>
            <w:bottom w:w="15" w:type="dxa"/>
            <w:right w:w="15" w:type="dxa"/>
          </w:tblCellMar>
        </w:tblPrEx>
        <w:trPr>
          <w:trHeight w:val="45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3、满意度指标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kern w:val="0"/>
                <w:sz w:val="18"/>
                <w:szCs w:val="18"/>
              </w:rPr>
            </w:pPr>
            <w:r>
              <w:rPr>
                <w:rFonts w:ascii="宋体" w:hAnsi="宋体" w:cs="宋体"/>
                <w:color w:val="000000"/>
                <w:kern w:val="0"/>
                <w:sz w:val="18"/>
                <w:szCs w:val="18"/>
              </w:rPr>
              <w:t>职工满意度</w:t>
            </w:r>
          </w:p>
        </w:tc>
        <w:tc>
          <w:tcPr>
            <w:tcW w:w="184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宋体" w:hAnsi="宋体" w:cs="宋体"/>
                <w:color w:val="000000"/>
                <w:sz w:val="18"/>
                <w:szCs w:val="18"/>
              </w:rPr>
            </w:pPr>
            <w:r>
              <w:rPr>
                <w:rFonts w:hint="eastAsia" w:ascii="宋体" w:hAnsi="宋体" w:cs="宋体"/>
                <w:color w:val="000000"/>
                <w:sz w:val="18"/>
                <w:szCs w:val="18"/>
              </w:rPr>
              <w:t>100%</w:t>
            </w:r>
          </w:p>
        </w:tc>
      </w:tr>
    </w:tbl>
    <w:p>
      <w:pPr>
        <w:widowControl/>
        <w:jc w:val="left"/>
        <w:outlineLvl w:val="1"/>
        <w:rPr>
          <w:rFonts w:ascii="仿宋_GB2312" w:hAnsi="宋体" w:eastAsia="仿宋_GB2312"/>
          <w:color w:val="000000"/>
          <w:kern w:val="0"/>
          <w:sz w:val="30"/>
          <w:szCs w:val="30"/>
        </w:rPr>
      </w:pPr>
    </w:p>
    <w:p>
      <w:pPr>
        <w:widowControl/>
        <w:jc w:val="center"/>
        <w:outlineLvl w:val="1"/>
        <w:rPr>
          <w:rFonts w:ascii="黑体" w:eastAsia="黑体" w:cs="宋体"/>
          <w:color w:val="000000"/>
          <w:kern w:val="0"/>
          <w:sz w:val="32"/>
          <w:szCs w:val="32"/>
        </w:rPr>
      </w:pPr>
    </w:p>
    <w:p>
      <w:pPr>
        <w:widowControl/>
        <w:jc w:val="center"/>
        <w:outlineLvl w:val="1"/>
        <w:rPr>
          <w:rFonts w:ascii="黑体" w:eastAsia="黑体" w:cs="宋体"/>
          <w:color w:val="000000"/>
          <w:kern w:val="0"/>
          <w:sz w:val="32"/>
          <w:szCs w:val="32"/>
        </w:rPr>
      </w:pPr>
    </w:p>
    <w:p>
      <w:pPr>
        <w:widowControl/>
        <w:jc w:val="center"/>
        <w:outlineLvl w:val="1"/>
        <w:rPr>
          <w:rFonts w:ascii="黑体" w:eastAsia="黑体" w:cs="宋体"/>
          <w:color w:val="000000"/>
          <w:kern w:val="0"/>
          <w:sz w:val="32"/>
          <w:szCs w:val="32"/>
        </w:rPr>
      </w:pPr>
    </w:p>
    <w:p>
      <w:pPr>
        <w:widowControl/>
        <w:jc w:val="center"/>
        <w:outlineLvl w:val="1"/>
        <w:rPr>
          <w:rFonts w:ascii="仿宋_GB2312" w:hAnsi="宋体" w:eastAsia="仿宋_GB2312"/>
          <w:b/>
          <w:bCs/>
          <w:color w:val="000000"/>
          <w:kern w:val="0"/>
          <w:sz w:val="36"/>
          <w:szCs w:val="36"/>
        </w:rPr>
      </w:pPr>
      <w:r>
        <w:rPr>
          <w:rFonts w:hint="eastAsia" w:ascii="黑体" w:eastAsia="黑体" w:cs="宋体"/>
          <w:color w:val="000000"/>
          <w:kern w:val="0"/>
          <w:sz w:val="32"/>
          <w:szCs w:val="32"/>
        </w:rPr>
        <w:t>吴忠市生态环境局盐池分局</w:t>
      </w:r>
      <w:r>
        <w:rPr>
          <w:rFonts w:hint="eastAsia" w:ascii="仿宋_GB2312" w:hAnsi="宋体" w:eastAsia="仿宋_GB2312"/>
          <w:b/>
          <w:bCs/>
          <w:color w:val="000000"/>
          <w:kern w:val="0"/>
          <w:sz w:val="36"/>
          <w:szCs w:val="36"/>
        </w:rPr>
        <w:t>2021年部门预算——2021年部门项目支出预算绩效目标表</w:t>
      </w:r>
    </w:p>
    <w:tbl>
      <w:tblPr>
        <w:tblStyle w:val="8"/>
        <w:tblW w:w="0" w:type="auto"/>
        <w:tblInd w:w="0" w:type="dxa"/>
        <w:tblLayout w:type="fixed"/>
        <w:tblCellMar>
          <w:top w:w="15" w:type="dxa"/>
          <w:left w:w="15" w:type="dxa"/>
          <w:bottom w:w="15" w:type="dxa"/>
          <w:right w:w="15" w:type="dxa"/>
        </w:tblCellMar>
      </w:tblPr>
      <w:tblGrid>
        <w:gridCol w:w="1132"/>
        <w:gridCol w:w="2015"/>
        <w:gridCol w:w="2171"/>
        <w:gridCol w:w="1322"/>
        <w:gridCol w:w="1848"/>
      </w:tblGrid>
      <w:tr>
        <w:tblPrEx>
          <w:tblCellMar>
            <w:top w:w="15" w:type="dxa"/>
            <w:left w:w="15" w:type="dxa"/>
            <w:bottom w:w="15" w:type="dxa"/>
            <w:right w:w="15" w:type="dxa"/>
          </w:tblCellMar>
        </w:tblPrEx>
        <w:trPr>
          <w:trHeight w:val="285" w:hRule="atLeast"/>
        </w:trPr>
        <w:tc>
          <w:tcPr>
            <w:tcW w:w="8488" w:type="dxa"/>
            <w:gridSpan w:val="5"/>
            <w:vAlign w:val="center"/>
          </w:tcPr>
          <w:p>
            <w:pPr>
              <w:widowControl/>
              <w:jc w:val="left"/>
              <w:textAlignment w:val="center"/>
              <w:rPr>
                <w:rFonts w:ascii="黑体" w:hAnsi="宋体" w:eastAsia="黑体" w:cs="黑体"/>
                <w:color w:val="000000"/>
                <w:sz w:val="16"/>
                <w:szCs w:val="16"/>
              </w:rPr>
            </w:pPr>
            <w:r>
              <w:rPr>
                <w:rFonts w:hint="eastAsia" w:ascii="黑体" w:hAnsi="宋体" w:eastAsia="黑体" w:cs="黑体"/>
                <w:color w:val="000000"/>
                <w:kern w:val="0"/>
                <w:sz w:val="16"/>
                <w:szCs w:val="16"/>
              </w:rPr>
              <w:t>附件</w:t>
            </w:r>
          </w:p>
        </w:tc>
      </w:tr>
      <w:tr>
        <w:tblPrEx>
          <w:tblCellMar>
            <w:top w:w="15" w:type="dxa"/>
            <w:left w:w="15" w:type="dxa"/>
            <w:bottom w:w="15" w:type="dxa"/>
            <w:right w:w="15" w:type="dxa"/>
          </w:tblCellMar>
        </w:tblPrEx>
        <w:trPr>
          <w:trHeight w:val="885" w:hRule="atLeast"/>
        </w:trPr>
        <w:tc>
          <w:tcPr>
            <w:tcW w:w="8488" w:type="dxa"/>
            <w:gridSpan w:val="5"/>
            <w:vAlign w:val="center"/>
          </w:tcPr>
          <w:p>
            <w:pPr>
              <w:widowControl/>
              <w:jc w:val="center"/>
              <w:textAlignment w:val="center"/>
              <w:rPr>
                <w:rFonts w:ascii="宋体" w:hAnsi="宋体" w:cs="宋体"/>
                <w:b/>
                <w:color w:val="000000"/>
                <w:sz w:val="40"/>
                <w:szCs w:val="40"/>
              </w:rPr>
            </w:pPr>
            <w:r>
              <w:rPr>
                <w:rFonts w:hint="eastAsia" w:ascii="宋体" w:hAnsi="宋体" w:cs="宋体"/>
                <w:b/>
                <w:color w:val="000000"/>
                <w:kern w:val="0"/>
                <w:sz w:val="28"/>
                <w:szCs w:val="28"/>
              </w:rPr>
              <w:t>2021年吴忠市本级部门项目支出预算绩效目标表</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项目名称</w:t>
            </w:r>
          </w:p>
        </w:tc>
        <w:tc>
          <w:tcPr>
            <w:tcW w:w="534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0"/>
              </w:rPr>
            </w:pPr>
            <w:r>
              <w:rPr>
                <w:rFonts w:hint="eastAsia" w:ascii="宋体" w:hAnsi="宋体" w:cs="宋体"/>
                <w:color w:val="000000"/>
                <w:sz w:val="20"/>
              </w:rPr>
              <w:t>环境监察执法经费</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主管部门</w:t>
            </w:r>
          </w:p>
        </w:tc>
        <w:tc>
          <w:tcPr>
            <w:tcW w:w="21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吴忠市生态环境局</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实施单位</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吴忠市生态环境局盐池分局</w:t>
            </w:r>
          </w:p>
        </w:tc>
      </w:tr>
      <w:tr>
        <w:tblPrEx>
          <w:tblCellMar>
            <w:top w:w="15" w:type="dxa"/>
            <w:left w:w="15" w:type="dxa"/>
            <w:bottom w:w="15" w:type="dxa"/>
            <w:right w:w="15" w:type="dxa"/>
          </w:tblCellMar>
        </w:tblPrEx>
        <w:trPr>
          <w:trHeight w:val="450" w:hRule="atLeast"/>
        </w:trPr>
        <w:tc>
          <w:tcPr>
            <w:tcW w:w="314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项目属性</w:t>
            </w:r>
          </w:p>
        </w:tc>
        <w:tc>
          <w:tcPr>
            <w:tcW w:w="21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经常性项目</w:t>
            </w:r>
          </w:p>
        </w:tc>
        <w:tc>
          <w:tcPr>
            <w:tcW w:w="13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项目期</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2021年-2021年</w:t>
            </w:r>
          </w:p>
        </w:tc>
      </w:tr>
      <w:tr>
        <w:tblPrEx>
          <w:tblCellMar>
            <w:top w:w="15" w:type="dxa"/>
            <w:left w:w="15" w:type="dxa"/>
            <w:bottom w:w="15" w:type="dxa"/>
            <w:right w:w="15" w:type="dxa"/>
          </w:tblCellMar>
        </w:tblPrEx>
        <w:trPr>
          <w:trHeight w:val="450" w:hRule="atLeast"/>
        </w:trPr>
        <w:tc>
          <w:tcPr>
            <w:tcW w:w="314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项目资金</w:t>
            </w:r>
            <w:r>
              <w:rPr>
                <w:rFonts w:hint="eastAsia" w:ascii="宋体" w:hAnsi="宋体" w:cs="宋体"/>
                <w:b/>
                <w:color w:val="000000"/>
                <w:kern w:val="0"/>
                <w:sz w:val="20"/>
              </w:rPr>
              <w:br w:type="textWrapping"/>
            </w:r>
            <w:r>
              <w:rPr>
                <w:rFonts w:hint="eastAsia" w:ascii="宋体" w:hAnsi="宋体" w:cs="宋体"/>
                <w:b/>
                <w:color w:val="000000"/>
                <w:kern w:val="0"/>
                <w:sz w:val="20"/>
              </w:rPr>
              <w:t>（万元）</w:t>
            </w: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年度资金总额</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50.00</w:t>
            </w: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其中：财政拨款</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50.00</w:t>
            </w: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xml:space="preserve">                   结余结转</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r>
              <w:rPr>
                <w:rFonts w:hint="eastAsia" w:ascii="宋体" w:hAnsi="宋体" w:cs="宋体"/>
                <w:color w:val="000000"/>
                <w:sz w:val="20"/>
              </w:rPr>
              <w:t>0.00</w:t>
            </w:r>
          </w:p>
        </w:tc>
      </w:tr>
      <w:tr>
        <w:tblPrEx>
          <w:tblCellMar>
            <w:top w:w="15" w:type="dxa"/>
            <w:left w:w="15" w:type="dxa"/>
            <w:bottom w:w="15" w:type="dxa"/>
            <w:right w:w="15" w:type="dxa"/>
          </w:tblCellMar>
        </w:tblPrEx>
        <w:trPr>
          <w:trHeight w:val="450" w:hRule="atLeast"/>
        </w:trPr>
        <w:tc>
          <w:tcPr>
            <w:tcW w:w="314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0"/>
              </w:rPr>
            </w:pPr>
          </w:p>
        </w:tc>
        <w:tc>
          <w:tcPr>
            <w:tcW w:w="2171"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其他资金</w:t>
            </w:r>
          </w:p>
        </w:tc>
        <w:tc>
          <w:tcPr>
            <w:tcW w:w="317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20"/>
              </w:rPr>
            </w:pPr>
          </w:p>
        </w:tc>
      </w:tr>
      <w:tr>
        <w:tblPrEx>
          <w:tblCellMar>
            <w:top w:w="15" w:type="dxa"/>
            <w:left w:w="15" w:type="dxa"/>
            <w:bottom w:w="15" w:type="dxa"/>
            <w:right w:w="15" w:type="dxa"/>
          </w:tblCellMar>
        </w:tblPrEx>
        <w:trPr>
          <w:trHeight w:val="147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绩效目标</w:t>
            </w:r>
          </w:p>
        </w:tc>
        <w:tc>
          <w:tcPr>
            <w:tcW w:w="7356" w:type="dxa"/>
            <w:gridSpan w:val="4"/>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20"/>
              </w:rPr>
            </w:pPr>
            <w:r>
              <w:rPr>
                <w:rFonts w:hint="eastAsia" w:ascii="宋体" w:hAnsi="宋体" w:cs="宋体"/>
                <w:color w:val="000000"/>
                <w:sz w:val="20"/>
              </w:rPr>
              <w:t>保障环境执法工作经费</w:t>
            </w:r>
          </w:p>
        </w:tc>
      </w:tr>
      <w:tr>
        <w:tblPrEx>
          <w:tblCellMar>
            <w:top w:w="15" w:type="dxa"/>
            <w:left w:w="15" w:type="dxa"/>
            <w:bottom w:w="15" w:type="dxa"/>
            <w:right w:w="15" w:type="dxa"/>
          </w:tblCellMar>
        </w:tblPrEx>
        <w:trPr>
          <w:trHeight w:val="45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184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w:t>
            </w:r>
          </w:p>
        </w:tc>
      </w:tr>
      <w:tr>
        <w:tblPrEx>
          <w:tblCellMar>
            <w:top w:w="15" w:type="dxa"/>
            <w:left w:w="15" w:type="dxa"/>
            <w:bottom w:w="15" w:type="dxa"/>
            <w:right w:w="15" w:type="dxa"/>
          </w:tblCellMar>
        </w:tblPrEx>
        <w:trPr>
          <w:trHeight w:val="450"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1、产出指标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数量指标（必填硬性指标）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满足工作顺利开展</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环境保护日常工作</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环境执法正常开展</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全部人员工作经费</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2021年</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12个月</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成本指标（必填硬性指标）</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加大工作力度，减少资源浪费</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ascii="宋体" w:hAnsi="宋体" w:cs="宋体"/>
                <w:color w:val="000000"/>
                <w:sz w:val="18"/>
                <w:szCs w:val="18"/>
              </w:rPr>
              <w:t>50</w:t>
            </w:r>
          </w:p>
        </w:tc>
      </w:tr>
      <w:tr>
        <w:tblPrEx>
          <w:tblCellMar>
            <w:top w:w="15" w:type="dxa"/>
            <w:left w:w="15" w:type="dxa"/>
            <w:bottom w:w="15" w:type="dxa"/>
            <w:right w:w="15" w:type="dxa"/>
          </w:tblCellMar>
        </w:tblPrEx>
        <w:trPr>
          <w:trHeight w:val="450" w:hRule="atLeast"/>
        </w:trPr>
        <w:tc>
          <w:tcPr>
            <w:tcW w:w="113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2、效益指标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生态环境持续改善</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生态环保</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经济效益指标（选填）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环境保护</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ascii="宋体" w:hAnsi="宋体" w:cs="宋体"/>
                <w:color w:val="000000"/>
                <w:sz w:val="18"/>
                <w:szCs w:val="18"/>
              </w:rPr>
              <w:t>100%</w:t>
            </w:r>
          </w:p>
        </w:tc>
      </w:tr>
      <w:tr>
        <w:tblPrEx>
          <w:tblCellMar>
            <w:top w:w="15" w:type="dxa"/>
            <w:left w:w="15" w:type="dxa"/>
            <w:bottom w:w="15" w:type="dxa"/>
            <w:right w:w="15" w:type="dxa"/>
          </w:tblCellMar>
        </w:tblPrEx>
        <w:trPr>
          <w:trHeight w:val="450" w:hRule="atLeast"/>
        </w:trPr>
        <w:tc>
          <w:tcPr>
            <w:tcW w:w="11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生态效益指标（选填）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p>
        </w:tc>
      </w:tr>
      <w:tr>
        <w:tblPrEx>
          <w:tblCellMar>
            <w:top w:w="15" w:type="dxa"/>
            <w:left w:w="15" w:type="dxa"/>
            <w:bottom w:w="15" w:type="dxa"/>
            <w:right w:w="15" w:type="dxa"/>
          </w:tblCellMar>
        </w:tblPrEx>
        <w:trPr>
          <w:trHeight w:val="450" w:hRule="atLeast"/>
        </w:trPr>
        <w:tc>
          <w:tcPr>
            <w:tcW w:w="11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3、满意度指标</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服务对象满意度指标（必填）</w:t>
            </w:r>
          </w:p>
        </w:tc>
        <w:tc>
          <w:tcPr>
            <w:tcW w:w="349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群众满意</w:t>
            </w:r>
          </w:p>
        </w:tc>
        <w:tc>
          <w:tcPr>
            <w:tcW w:w="184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ascii="宋体" w:hAnsi="宋体" w:cs="宋体"/>
                <w:color w:val="000000"/>
                <w:sz w:val="18"/>
                <w:szCs w:val="18"/>
              </w:rPr>
              <w:t>100%</w:t>
            </w:r>
          </w:p>
        </w:tc>
      </w:tr>
    </w:tbl>
    <w:p>
      <w:pPr>
        <w:widowControl/>
        <w:jc w:val="left"/>
        <w:outlineLvl w:val="1"/>
        <w:rPr>
          <w:rFonts w:ascii="仿宋_GB2312" w:hAnsi="宋体" w:eastAsia="仿宋_GB2312"/>
          <w:color w:val="000000"/>
          <w:kern w:val="0"/>
          <w:sz w:val="30"/>
          <w:szCs w:val="30"/>
        </w:rPr>
      </w:pPr>
    </w:p>
    <w:p>
      <w:pPr>
        <w:spacing w:line="560" w:lineRule="exact"/>
        <w:jc w:val="left"/>
        <w:rPr>
          <w:rFonts w:ascii="方正小标宋简体" w:hAnsi="宋体" w:eastAsia="方正小标宋简体"/>
          <w:bCs/>
          <w:color w:val="000000"/>
          <w:kern w:val="0"/>
          <w:sz w:val="44"/>
          <w:szCs w:val="36"/>
        </w:rPr>
      </w:pPr>
      <w:r>
        <w:rPr>
          <w:rFonts w:hint="eastAsia" w:ascii="方正小标宋简体" w:hAnsi="宋体" w:eastAsia="方正小标宋简体"/>
          <w:bCs/>
          <w:color w:val="000000"/>
          <w:kern w:val="0"/>
          <w:sz w:val="44"/>
          <w:szCs w:val="36"/>
        </w:rPr>
        <w:t>吴忠市生态环境局同心分局2021年部门预算——2021年部门项目支出预算绩效目标表</w:t>
      </w:r>
    </w:p>
    <w:p>
      <w:pPr>
        <w:jc w:val="left"/>
        <w:rPr>
          <w:rFonts w:ascii="仿宋_GB2312" w:hAnsi="宋体" w:eastAsia="仿宋_GB2312"/>
          <w:b/>
          <w:bCs/>
          <w:color w:val="000000"/>
          <w:kern w:val="0"/>
          <w:sz w:val="36"/>
          <w:szCs w:val="36"/>
        </w:rPr>
      </w:pPr>
    </w:p>
    <w:tbl>
      <w:tblPr>
        <w:tblStyle w:val="8"/>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39"/>
        <w:gridCol w:w="2095"/>
        <w:gridCol w:w="2410"/>
        <w:gridCol w:w="992"/>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946" w:type="dxa"/>
            <w:gridSpan w:val="5"/>
            <w:vAlign w:val="center"/>
          </w:tcPr>
          <w:p>
            <w:pPr>
              <w:widowControl/>
              <w:jc w:val="center"/>
              <w:textAlignment w:val="center"/>
              <w:rPr>
                <w:rFonts w:ascii="黑体" w:hAnsi="宋体" w:eastAsia="黑体" w:cs="黑体"/>
                <w:color w:val="000000"/>
                <w:sz w:val="16"/>
                <w:szCs w:val="16"/>
              </w:rPr>
            </w:pPr>
            <w:r>
              <w:rPr>
                <w:rFonts w:hint="eastAsia" w:ascii="宋体" w:hAnsi="宋体" w:cs="宋体"/>
                <w:b/>
                <w:color w:val="000000"/>
                <w:kern w:val="0"/>
                <w:sz w:val="36"/>
                <w:szCs w:val="36"/>
              </w:rPr>
              <w:t>2021年吴忠市本级部门项目支出预算绩效目标表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4" w:hRule="atLeast"/>
        </w:trPr>
        <w:tc>
          <w:tcPr>
            <w:tcW w:w="3134" w:type="dxa"/>
            <w:gridSpan w:val="2"/>
            <w:vAlign w:val="center"/>
          </w:tcPr>
          <w:p>
            <w:pPr>
              <w:widowControl/>
              <w:jc w:val="center"/>
              <w:textAlignment w:val="center"/>
              <w:rPr>
                <w:rFonts w:ascii="宋体" w:hAnsi="宋体" w:cs="宋体"/>
                <w:b/>
                <w:color w:val="000000"/>
                <w:sz w:val="40"/>
                <w:szCs w:val="40"/>
              </w:rPr>
            </w:pPr>
            <w:r>
              <w:rPr>
                <w:rFonts w:hint="eastAsia" w:ascii="宋体" w:hAnsi="宋体" w:cs="宋体"/>
                <w:b/>
                <w:color w:val="000000"/>
                <w:kern w:val="0"/>
                <w:sz w:val="20"/>
              </w:rPr>
              <w:t>项目名称</w:t>
            </w:r>
          </w:p>
        </w:tc>
        <w:tc>
          <w:tcPr>
            <w:tcW w:w="5812" w:type="dxa"/>
            <w:gridSpan w:val="3"/>
            <w:vAlign w:val="center"/>
          </w:tcPr>
          <w:p>
            <w:pPr>
              <w:widowControl/>
              <w:jc w:val="center"/>
              <w:textAlignment w:val="center"/>
            </w:pPr>
            <w:r>
              <w:rPr>
                <w:rFonts w:hint="eastAsia" w:ascii="宋体" w:hAnsi="宋体" w:cs="宋体"/>
                <w:color w:val="000000"/>
                <w:kern w:val="0"/>
                <w:sz w:val="20"/>
              </w:rPr>
              <w:t>环境执法监察经费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3134" w:type="dxa"/>
            <w:gridSpan w:val="2"/>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主管部门</w:t>
            </w:r>
          </w:p>
        </w:tc>
        <w:tc>
          <w:tcPr>
            <w:tcW w:w="2410" w:type="dxa"/>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吴忠市生态环境局</w:t>
            </w:r>
          </w:p>
        </w:tc>
        <w:tc>
          <w:tcPr>
            <w:tcW w:w="992" w:type="dxa"/>
            <w:vAlign w:val="center"/>
          </w:tcPr>
          <w:p>
            <w:pPr>
              <w:widowControl/>
              <w:jc w:val="center"/>
              <w:textAlignment w:val="center"/>
            </w:pPr>
            <w:r>
              <w:rPr>
                <w:rFonts w:hint="eastAsia" w:ascii="宋体" w:hAnsi="宋体" w:cs="宋体"/>
                <w:b/>
                <w:color w:val="000000"/>
                <w:kern w:val="0"/>
                <w:sz w:val="20"/>
              </w:rPr>
              <w:t>实施单位</w:t>
            </w:r>
          </w:p>
        </w:tc>
        <w:tc>
          <w:tcPr>
            <w:tcW w:w="2410" w:type="dxa"/>
            <w:vAlign w:val="center"/>
          </w:tcPr>
          <w:p>
            <w:pPr>
              <w:widowControl/>
              <w:jc w:val="center"/>
              <w:textAlignment w:val="center"/>
            </w:pPr>
            <w:r>
              <w:rPr>
                <w:rFonts w:hint="eastAsia" w:ascii="宋体" w:hAnsi="宋体" w:cs="宋体"/>
                <w:color w:val="000000"/>
                <w:kern w:val="0"/>
                <w:sz w:val="20"/>
              </w:rPr>
              <w:t>吴忠市生态环境局同心分局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3134" w:type="dxa"/>
            <w:gridSpan w:val="2"/>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项目属性</w:t>
            </w:r>
          </w:p>
        </w:tc>
        <w:tc>
          <w:tcPr>
            <w:tcW w:w="2410" w:type="dxa"/>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经常性项目</w:t>
            </w:r>
          </w:p>
        </w:tc>
        <w:tc>
          <w:tcPr>
            <w:tcW w:w="992" w:type="dxa"/>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项目期</w:t>
            </w:r>
          </w:p>
        </w:tc>
        <w:tc>
          <w:tcPr>
            <w:tcW w:w="2410" w:type="dxa"/>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2021年-2021年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3134" w:type="dxa"/>
            <w:gridSpan w:val="2"/>
            <w:vMerge w:val="restart"/>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项目资金</w:t>
            </w:r>
            <w:r>
              <w:rPr>
                <w:rFonts w:hint="eastAsia" w:ascii="宋体" w:hAnsi="宋体" w:cs="宋体"/>
                <w:b/>
                <w:color w:val="000000"/>
                <w:kern w:val="0"/>
                <w:sz w:val="20"/>
              </w:rPr>
              <w:br w:type="textWrapping"/>
            </w:r>
            <w:r>
              <w:rPr>
                <w:rFonts w:hint="eastAsia" w:ascii="宋体" w:hAnsi="宋体" w:cs="宋体"/>
                <w:b/>
                <w:color w:val="000000"/>
                <w:kern w:val="0"/>
                <w:sz w:val="20"/>
              </w:rPr>
              <w:t>（万元）</w:t>
            </w:r>
          </w:p>
        </w:tc>
        <w:tc>
          <w:tcPr>
            <w:tcW w:w="2410" w:type="dxa"/>
            <w:vAlign w:val="center"/>
          </w:tcPr>
          <w:p>
            <w:pPr>
              <w:widowControl/>
              <w:jc w:val="center"/>
              <w:textAlignment w:val="center"/>
              <w:rPr>
                <w:rFonts w:ascii="宋体" w:hAnsi="宋体" w:cs="宋体"/>
                <w:color w:val="000000"/>
                <w:sz w:val="20"/>
              </w:rPr>
            </w:pPr>
            <w:r>
              <w:rPr>
                <w:rFonts w:hint="eastAsia" w:ascii="宋体" w:hAnsi="宋体" w:cs="宋体"/>
                <w:b/>
                <w:color w:val="000000"/>
                <w:kern w:val="0"/>
                <w:sz w:val="20"/>
              </w:rPr>
              <w:t>年度资金总额</w:t>
            </w:r>
          </w:p>
        </w:tc>
        <w:tc>
          <w:tcPr>
            <w:tcW w:w="3402" w:type="dxa"/>
            <w:gridSpan w:val="2"/>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50.000000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3134" w:type="dxa"/>
            <w:gridSpan w:val="2"/>
            <w:vMerge w:val="continue"/>
            <w:vAlign w:val="center"/>
          </w:tcPr>
          <w:p>
            <w:pPr>
              <w:jc w:val="center"/>
              <w:rPr>
                <w:rFonts w:ascii="宋体" w:hAnsi="宋体" w:cs="宋体"/>
                <w:b/>
                <w:color w:val="000000"/>
                <w:sz w:val="20"/>
              </w:rPr>
            </w:pPr>
          </w:p>
        </w:tc>
        <w:tc>
          <w:tcPr>
            <w:tcW w:w="2410" w:type="dxa"/>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其中：财政拨款</w:t>
            </w:r>
          </w:p>
        </w:tc>
        <w:tc>
          <w:tcPr>
            <w:tcW w:w="3402" w:type="dxa"/>
            <w:gridSpan w:val="2"/>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50.000000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3134" w:type="dxa"/>
            <w:gridSpan w:val="2"/>
            <w:vMerge w:val="continue"/>
            <w:vAlign w:val="center"/>
          </w:tcPr>
          <w:p>
            <w:pPr>
              <w:jc w:val="center"/>
              <w:rPr>
                <w:rFonts w:ascii="宋体" w:hAnsi="宋体" w:cs="宋体"/>
                <w:b/>
                <w:color w:val="000000"/>
                <w:sz w:val="20"/>
              </w:rPr>
            </w:pPr>
          </w:p>
        </w:tc>
        <w:tc>
          <w:tcPr>
            <w:tcW w:w="2410" w:type="dxa"/>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xml:space="preserve">                     结余结转</w:t>
            </w:r>
          </w:p>
        </w:tc>
        <w:tc>
          <w:tcPr>
            <w:tcW w:w="3402" w:type="dxa"/>
            <w:gridSpan w:val="2"/>
            <w:vAlign w:val="center"/>
          </w:tcPr>
          <w:p>
            <w:pPr>
              <w:jc w:val="center"/>
              <w:rPr>
                <w:rFonts w:ascii="宋体" w:hAnsi="宋体" w:cs="宋体"/>
                <w:color w:val="000000"/>
                <w:sz w:val="20"/>
              </w:rPr>
            </w:pPr>
            <w:r>
              <w:rPr>
                <w:rFonts w:hint="eastAsia" w:ascii="宋体" w:hAnsi="宋体" w:cs="宋体"/>
                <w:color w:val="000000"/>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3134" w:type="dxa"/>
            <w:gridSpan w:val="2"/>
            <w:vMerge w:val="continue"/>
            <w:vAlign w:val="center"/>
          </w:tcPr>
          <w:p>
            <w:pPr>
              <w:jc w:val="center"/>
              <w:rPr>
                <w:rFonts w:ascii="宋体" w:hAnsi="宋体" w:cs="宋体"/>
                <w:b/>
                <w:color w:val="000000"/>
                <w:sz w:val="20"/>
              </w:rPr>
            </w:pPr>
          </w:p>
        </w:tc>
        <w:tc>
          <w:tcPr>
            <w:tcW w:w="2410" w:type="dxa"/>
            <w:vAlign w:val="center"/>
          </w:tcPr>
          <w:p>
            <w:pPr>
              <w:widowControl/>
              <w:jc w:val="right"/>
              <w:textAlignment w:val="center"/>
              <w:rPr>
                <w:rFonts w:ascii="宋体" w:hAnsi="宋体" w:cs="宋体"/>
                <w:b/>
                <w:color w:val="000000"/>
                <w:sz w:val="20"/>
              </w:rPr>
            </w:pPr>
            <w:r>
              <w:rPr>
                <w:rFonts w:hint="eastAsia" w:ascii="宋体" w:hAnsi="宋体" w:cs="宋体"/>
                <w:b/>
                <w:color w:val="000000"/>
                <w:kern w:val="0"/>
                <w:sz w:val="20"/>
              </w:rPr>
              <w:t>　　　　　　　　　　其他资金</w:t>
            </w:r>
          </w:p>
        </w:tc>
        <w:tc>
          <w:tcPr>
            <w:tcW w:w="3402" w:type="dxa"/>
            <w:gridSpan w:val="2"/>
            <w:vAlign w:val="center"/>
          </w:tcPr>
          <w:p>
            <w:pPr>
              <w:jc w:val="center"/>
              <w:rPr>
                <w:rFonts w:ascii="宋体" w:hAnsi="宋体" w:cs="宋体"/>
                <w:color w:val="000000"/>
                <w:sz w:val="20"/>
              </w:rPr>
            </w:pPr>
            <w:r>
              <w:rPr>
                <w:rFonts w:hint="eastAsia" w:ascii="宋体" w:hAnsi="宋体" w:cs="宋体"/>
                <w:color w:val="000000"/>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1039" w:type="dxa"/>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20"/>
              </w:rPr>
              <w:t>绩效目标</w:t>
            </w:r>
          </w:p>
        </w:tc>
        <w:tc>
          <w:tcPr>
            <w:tcW w:w="7907" w:type="dxa"/>
            <w:gridSpan w:val="4"/>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通过项目的实施，有效解决职责不清、责任不明和地方保护问题。切实落实政府、部门、企业和个人等各方面的责任，充分发挥社会监督作用，进一步对工业和生活污染防治，推动生活环境安全，助力人民安居乐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8" w:hRule="atLeast"/>
        </w:trPr>
        <w:tc>
          <w:tcPr>
            <w:tcW w:w="1039" w:type="dxa"/>
            <w:vAlign w:val="center"/>
          </w:tcPr>
          <w:p>
            <w:pPr>
              <w:widowControl/>
              <w:jc w:val="center"/>
              <w:textAlignment w:val="center"/>
              <w:rPr>
                <w:rFonts w:ascii="宋体" w:hAnsi="宋体" w:cs="宋体"/>
                <w:b/>
                <w:color w:val="000000"/>
                <w:sz w:val="20"/>
              </w:rPr>
            </w:pPr>
            <w:r>
              <w:rPr>
                <w:rFonts w:hint="eastAsia" w:ascii="宋体" w:hAnsi="宋体" w:cs="宋体"/>
                <w:b/>
                <w:color w:val="000000"/>
                <w:kern w:val="0"/>
                <w:sz w:val="18"/>
                <w:szCs w:val="18"/>
              </w:rPr>
              <w:t>一级指标</w:t>
            </w:r>
          </w:p>
        </w:tc>
        <w:tc>
          <w:tcPr>
            <w:tcW w:w="2095" w:type="dxa"/>
            <w:vAlign w:val="center"/>
          </w:tcPr>
          <w:p>
            <w:pPr>
              <w:widowControl/>
              <w:jc w:val="center"/>
              <w:textAlignment w:val="center"/>
              <w:rPr>
                <w:rFonts w:ascii="宋体" w:hAnsi="宋体" w:cs="宋体"/>
                <w:color w:val="000000"/>
                <w:sz w:val="20"/>
              </w:rPr>
            </w:pPr>
            <w:r>
              <w:rPr>
                <w:rFonts w:hint="eastAsia" w:ascii="宋体" w:hAnsi="宋体" w:cs="宋体"/>
                <w:b/>
                <w:color w:val="000000"/>
                <w:kern w:val="0"/>
                <w:sz w:val="18"/>
                <w:szCs w:val="18"/>
              </w:rPr>
              <w:t>二级指标</w:t>
            </w:r>
          </w:p>
        </w:tc>
        <w:tc>
          <w:tcPr>
            <w:tcW w:w="3402" w:type="dxa"/>
            <w:gridSpan w:val="2"/>
            <w:vAlign w:val="center"/>
          </w:tcPr>
          <w:p>
            <w:pPr>
              <w:widowControl/>
              <w:jc w:val="center"/>
              <w:textAlignment w:val="center"/>
            </w:pPr>
            <w:r>
              <w:rPr>
                <w:rFonts w:hint="eastAsia" w:ascii="宋体" w:hAnsi="宋体" w:cs="宋体"/>
                <w:b/>
                <w:color w:val="000000"/>
                <w:kern w:val="0"/>
                <w:sz w:val="18"/>
                <w:szCs w:val="18"/>
              </w:rPr>
              <w:t>三级指标</w:t>
            </w:r>
          </w:p>
        </w:tc>
        <w:tc>
          <w:tcPr>
            <w:tcW w:w="2410" w:type="dxa"/>
            <w:vAlign w:val="center"/>
          </w:tcPr>
          <w:p>
            <w:pPr>
              <w:widowControl/>
              <w:jc w:val="center"/>
              <w:textAlignment w:val="center"/>
            </w:pPr>
            <w:r>
              <w:rPr>
                <w:rFonts w:hint="eastAsia" w:ascii="宋体" w:hAnsi="宋体" w:cs="宋体"/>
                <w:b/>
                <w:color w:val="000000"/>
                <w:kern w:val="0"/>
                <w:sz w:val="18"/>
                <w:szCs w:val="18"/>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1039" w:type="dxa"/>
            <w:vMerge w:val="restart"/>
            <w:vAlign w:val="center"/>
          </w:tcPr>
          <w:p>
            <w:pPr>
              <w:widowControl/>
              <w:jc w:val="center"/>
              <w:textAlignment w:val="center"/>
              <w:rPr>
                <w:rFonts w:ascii="宋体" w:hAnsi="宋体" w:cs="宋体"/>
                <w:b/>
                <w:color w:val="000000"/>
                <w:sz w:val="18"/>
                <w:szCs w:val="18"/>
              </w:rPr>
            </w:pPr>
            <w:r>
              <w:rPr>
                <w:rFonts w:hint="eastAsia" w:ascii="宋体" w:hAnsi="宋体" w:cs="宋体"/>
                <w:color w:val="000000"/>
                <w:kern w:val="0"/>
                <w:sz w:val="18"/>
                <w:szCs w:val="18"/>
              </w:rPr>
              <w:t>1、产出指标</w:t>
            </w:r>
          </w:p>
        </w:tc>
        <w:tc>
          <w:tcPr>
            <w:tcW w:w="2095" w:type="dxa"/>
            <w:vAlign w:val="center"/>
          </w:tcPr>
          <w:p>
            <w:pPr>
              <w:widowControl/>
              <w:jc w:val="center"/>
              <w:textAlignment w:val="center"/>
              <w:rPr>
                <w:rFonts w:ascii="宋体" w:hAnsi="宋体" w:cs="宋体"/>
                <w:b/>
                <w:color w:val="000000"/>
                <w:sz w:val="18"/>
                <w:szCs w:val="18"/>
              </w:rPr>
            </w:pPr>
            <w:r>
              <w:rPr>
                <w:rFonts w:hint="eastAsia" w:ascii="宋体" w:hAnsi="宋体" w:cs="宋体"/>
                <w:color w:val="000000"/>
                <w:kern w:val="0"/>
                <w:sz w:val="18"/>
                <w:szCs w:val="18"/>
              </w:rPr>
              <w:t>数量指标（必填硬性指标）</w:t>
            </w:r>
          </w:p>
        </w:tc>
        <w:tc>
          <w:tcPr>
            <w:tcW w:w="3402" w:type="dxa"/>
            <w:gridSpan w:val="2"/>
            <w:vAlign w:val="center"/>
          </w:tcPr>
          <w:p>
            <w:pPr>
              <w:widowControl/>
              <w:jc w:val="left"/>
              <w:textAlignment w:val="center"/>
              <w:rPr>
                <w:rFonts w:ascii="宋体" w:hAnsi="宋体" w:cs="宋体"/>
                <w:b/>
                <w:color w:val="000000"/>
                <w:sz w:val="18"/>
                <w:szCs w:val="18"/>
              </w:rPr>
            </w:pPr>
            <w:r>
              <w:rPr>
                <w:rFonts w:hint="eastAsia" w:ascii="宋体" w:hAnsi="宋体" w:cs="宋体"/>
                <w:color w:val="000000"/>
                <w:kern w:val="0"/>
                <w:sz w:val="18"/>
                <w:szCs w:val="18"/>
              </w:rPr>
              <w:t>污染防治项目数</w:t>
            </w:r>
          </w:p>
        </w:tc>
        <w:tc>
          <w:tcPr>
            <w:tcW w:w="2410" w:type="dxa"/>
            <w:vAlign w:val="center"/>
          </w:tcPr>
          <w:p>
            <w:pPr>
              <w:widowControl/>
              <w:jc w:val="left"/>
              <w:textAlignment w:val="center"/>
              <w:rPr>
                <w:rFonts w:ascii="宋体" w:hAnsi="宋体" w:cs="宋体"/>
                <w:b/>
                <w:color w:val="000000"/>
                <w:sz w:val="18"/>
                <w:szCs w:val="18"/>
              </w:rPr>
            </w:pPr>
            <w:r>
              <w:rPr>
                <w:rFonts w:hint="eastAsia" w:ascii="宋体" w:hAnsi="宋体" w:cs="宋体"/>
                <w:color w:val="000000"/>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1039" w:type="dxa"/>
            <w:vMerge w:val="continue"/>
            <w:vAlign w:val="center"/>
          </w:tcPr>
          <w:p>
            <w:pPr>
              <w:jc w:val="center"/>
              <w:rPr>
                <w:rFonts w:ascii="宋体" w:hAnsi="宋体" w:cs="宋体"/>
                <w:color w:val="000000"/>
                <w:sz w:val="18"/>
                <w:szCs w:val="18"/>
              </w:rPr>
            </w:pPr>
          </w:p>
        </w:tc>
        <w:tc>
          <w:tcPr>
            <w:tcW w:w="2095"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质量指标（必填）</w:t>
            </w:r>
          </w:p>
        </w:tc>
        <w:tc>
          <w:tcPr>
            <w:tcW w:w="3402" w:type="dxa"/>
            <w:gridSpan w:val="2"/>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污染治理达标率</w:t>
            </w:r>
          </w:p>
        </w:tc>
        <w:tc>
          <w:tcPr>
            <w:tcW w:w="2410"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1039" w:type="dxa"/>
            <w:vMerge w:val="continue"/>
            <w:vAlign w:val="center"/>
          </w:tcPr>
          <w:p>
            <w:pPr>
              <w:jc w:val="center"/>
              <w:rPr>
                <w:rFonts w:ascii="宋体" w:hAnsi="宋体" w:cs="宋体"/>
                <w:color w:val="000000"/>
                <w:sz w:val="18"/>
                <w:szCs w:val="18"/>
              </w:rPr>
            </w:pPr>
          </w:p>
        </w:tc>
        <w:tc>
          <w:tcPr>
            <w:tcW w:w="2095"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时效指标（必填）</w:t>
            </w:r>
          </w:p>
        </w:tc>
        <w:tc>
          <w:tcPr>
            <w:tcW w:w="3402" w:type="dxa"/>
            <w:gridSpan w:val="2"/>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污染治理周期</w:t>
            </w:r>
          </w:p>
        </w:tc>
        <w:tc>
          <w:tcPr>
            <w:tcW w:w="2410"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1039" w:type="dxa"/>
            <w:vMerge w:val="continue"/>
            <w:vAlign w:val="center"/>
          </w:tcPr>
          <w:p>
            <w:pPr>
              <w:jc w:val="center"/>
              <w:rPr>
                <w:rFonts w:ascii="宋体" w:hAnsi="宋体" w:cs="宋体"/>
                <w:color w:val="000000"/>
                <w:sz w:val="18"/>
                <w:szCs w:val="18"/>
              </w:rPr>
            </w:pPr>
          </w:p>
        </w:tc>
        <w:tc>
          <w:tcPr>
            <w:tcW w:w="2095"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成本指标（必填硬性指标）</w:t>
            </w:r>
          </w:p>
        </w:tc>
        <w:tc>
          <w:tcPr>
            <w:tcW w:w="3402" w:type="dxa"/>
            <w:gridSpan w:val="2"/>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每个污染防治项目年工作经费</w:t>
            </w:r>
          </w:p>
        </w:tc>
        <w:tc>
          <w:tcPr>
            <w:tcW w:w="2410" w:type="dxa"/>
            <w:vAlign w:val="center"/>
          </w:tcPr>
          <w:p>
            <w:pPr>
              <w:jc w:val="left"/>
              <w:rPr>
                <w:rFonts w:ascii="宋体" w:hAnsi="宋体" w:cs="宋体"/>
                <w:color w:val="000000"/>
                <w:sz w:val="18"/>
                <w:szCs w:val="18"/>
              </w:rPr>
            </w:pPr>
            <w:r>
              <w:rPr>
                <w:rFonts w:hint="eastAsia" w:ascii="宋体" w:hAnsi="宋体" w:cs="宋体"/>
                <w:color w:val="000000"/>
                <w:sz w:val="18"/>
                <w:szCs w:val="18"/>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1039" w:type="dxa"/>
            <w:vMerge w:val="restart"/>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2、效益指标</w:t>
            </w:r>
          </w:p>
        </w:tc>
        <w:tc>
          <w:tcPr>
            <w:tcW w:w="2095"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社会效益指标（必填）</w:t>
            </w:r>
          </w:p>
        </w:tc>
        <w:tc>
          <w:tcPr>
            <w:tcW w:w="3402" w:type="dxa"/>
            <w:gridSpan w:val="2"/>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进一步对工业和生活污染防治</w:t>
            </w:r>
          </w:p>
        </w:tc>
        <w:tc>
          <w:tcPr>
            <w:tcW w:w="2410"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1039" w:type="dxa"/>
            <w:vMerge w:val="continue"/>
            <w:vAlign w:val="center"/>
          </w:tcPr>
          <w:p>
            <w:pPr>
              <w:jc w:val="center"/>
              <w:rPr>
                <w:rFonts w:ascii="宋体" w:hAnsi="宋体" w:cs="宋体"/>
                <w:color w:val="000000"/>
                <w:sz w:val="18"/>
                <w:szCs w:val="18"/>
              </w:rPr>
            </w:pPr>
          </w:p>
        </w:tc>
        <w:tc>
          <w:tcPr>
            <w:tcW w:w="2095"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经济效益指标（选填）</w:t>
            </w:r>
          </w:p>
        </w:tc>
        <w:tc>
          <w:tcPr>
            <w:tcW w:w="3402" w:type="dxa"/>
            <w:gridSpan w:val="2"/>
            <w:vAlign w:val="center"/>
          </w:tcPr>
          <w:p>
            <w:pPr>
              <w:jc w:val="left"/>
              <w:rPr>
                <w:rFonts w:ascii="宋体" w:hAnsi="宋体" w:cs="宋体"/>
                <w:color w:val="000000"/>
                <w:sz w:val="18"/>
                <w:szCs w:val="18"/>
              </w:rPr>
            </w:pPr>
          </w:p>
        </w:tc>
        <w:tc>
          <w:tcPr>
            <w:tcW w:w="2410" w:type="dxa"/>
            <w:vAlign w:val="center"/>
          </w:tcPr>
          <w:p>
            <w:pPr>
              <w:jc w:val="lef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1039" w:type="dxa"/>
            <w:vMerge w:val="continue"/>
            <w:vAlign w:val="center"/>
          </w:tcPr>
          <w:p>
            <w:pPr>
              <w:jc w:val="center"/>
              <w:rPr>
                <w:rFonts w:ascii="宋体" w:hAnsi="宋体" w:cs="宋体"/>
                <w:color w:val="000000"/>
                <w:sz w:val="18"/>
                <w:szCs w:val="18"/>
              </w:rPr>
            </w:pPr>
          </w:p>
        </w:tc>
        <w:tc>
          <w:tcPr>
            <w:tcW w:w="2095"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可持续影响指标（必填）</w:t>
            </w:r>
          </w:p>
        </w:tc>
        <w:tc>
          <w:tcPr>
            <w:tcW w:w="3402" w:type="dxa"/>
            <w:gridSpan w:val="2"/>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推动生活环境安全，助力人民安居乐业</w:t>
            </w:r>
          </w:p>
        </w:tc>
        <w:tc>
          <w:tcPr>
            <w:tcW w:w="2410"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1039" w:type="dxa"/>
            <w:vMerge w:val="continue"/>
            <w:vAlign w:val="center"/>
          </w:tcPr>
          <w:p>
            <w:pPr>
              <w:jc w:val="center"/>
              <w:rPr>
                <w:rFonts w:ascii="宋体" w:hAnsi="宋体" w:cs="宋体"/>
                <w:color w:val="000000"/>
                <w:sz w:val="18"/>
                <w:szCs w:val="18"/>
              </w:rPr>
            </w:pPr>
          </w:p>
        </w:tc>
        <w:tc>
          <w:tcPr>
            <w:tcW w:w="2095"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生态效益指标（选填）</w:t>
            </w:r>
          </w:p>
        </w:tc>
        <w:tc>
          <w:tcPr>
            <w:tcW w:w="3402" w:type="dxa"/>
            <w:gridSpan w:val="2"/>
            <w:vAlign w:val="center"/>
          </w:tcPr>
          <w:p>
            <w:pPr>
              <w:jc w:val="left"/>
              <w:rPr>
                <w:rFonts w:ascii="宋体" w:hAnsi="宋体" w:cs="宋体"/>
                <w:color w:val="000000"/>
                <w:sz w:val="18"/>
                <w:szCs w:val="18"/>
              </w:rPr>
            </w:pPr>
          </w:p>
        </w:tc>
        <w:tc>
          <w:tcPr>
            <w:tcW w:w="2410" w:type="dxa"/>
            <w:vAlign w:val="center"/>
          </w:tcPr>
          <w:p>
            <w:pPr>
              <w:jc w:val="left"/>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0" w:hRule="atLeast"/>
        </w:trPr>
        <w:tc>
          <w:tcPr>
            <w:tcW w:w="1039"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3、满意度指标</w:t>
            </w:r>
          </w:p>
        </w:tc>
        <w:tc>
          <w:tcPr>
            <w:tcW w:w="2095" w:type="dxa"/>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服务对象满意度指标（必填）</w:t>
            </w:r>
          </w:p>
        </w:tc>
        <w:tc>
          <w:tcPr>
            <w:tcW w:w="3402" w:type="dxa"/>
            <w:gridSpan w:val="2"/>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老百姓满意度</w:t>
            </w:r>
          </w:p>
        </w:tc>
        <w:tc>
          <w:tcPr>
            <w:tcW w:w="2410" w:type="dxa"/>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99%</w:t>
            </w:r>
          </w:p>
        </w:tc>
      </w:tr>
    </w:tbl>
    <w:p>
      <w:pPr>
        <w:widowControl/>
        <w:jc w:val="left"/>
        <w:outlineLvl w:val="1"/>
        <w:rPr>
          <w:rFonts w:ascii="仿宋_GB2312" w:hAnsi="宋体" w:eastAsia="仿宋_GB2312"/>
          <w:color w:val="000000"/>
          <w:kern w:val="0"/>
          <w:sz w:val="30"/>
          <w:szCs w:val="30"/>
        </w:rPr>
      </w:pPr>
    </w:p>
    <w:p>
      <w:pPr>
        <w:widowControl/>
        <w:jc w:val="left"/>
        <w:outlineLvl w:val="1"/>
        <w:rPr>
          <w:rFonts w:ascii="仿宋_GB2312" w:hAnsi="宋体" w:eastAsia="仿宋_GB2312"/>
          <w:color w:val="000000"/>
          <w:kern w:val="0"/>
          <w:sz w:val="30"/>
          <w:szCs w:val="30"/>
        </w:rPr>
      </w:pPr>
    </w:p>
    <w:p>
      <w:pPr>
        <w:widowControl/>
        <w:jc w:val="left"/>
        <w:outlineLvl w:val="1"/>
        <w:rPr>
          <w:rFonts w:ascii="仿宋_GB2312" w:hAnsi="宋体" w:eastAsia="仿宋_GB2312"/>
          <w:color w:val="000000"/>
          <w:kern w:val="0"/>
          <w:sz w:val="30"/>
          <w:szCs w:val="30"/>
        </w:rPr>
      </w:pPr>
    </w:p>
    <w:p/>
    <w:sectPr>
      <w:footerReference r:id="rId6" w:type="default"/>
      <w:footerReference r:id="rId7" w:type="even"/>
      <w:pgSz w:w="11906" w:h="16838"/>
      <w:pgMar w:top="1417" w:right="1417" w:bottom="1417" w:left="1984"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sz w:val="18"/>
      </w:rPr>
    </w:pPr>
    <w:r>
      <w:rPr>
        <w:sz w:val="18"/>
      </w:rPr>
      <w:pict>
        <v:shape id="文本框 13"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snapToGrid w:val="0"/>
                  <w:jc w:val="left"/>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1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31</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17" o:spid="_x0000_s1027"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30</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9" o:spid="_x0000_s102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65</w:t>
                </w:r>
                <w:r>
                  <w:rPr>
                    <w:rFonts w:hint="eastAsia"/>
                    <w:sz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10" o:spid="_x0000_s102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54</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98B1F"/>
    <w:multiLevelType w:val="singleLevel"/>
    <w:tmpl w:val="9B898B1F"/>
    <w:lvl w:ilvl="0" w:tentative="0">
      <w:start w:val="1"/>
      <w:numFmt w:val="decimal"/>
      <w:suff w:val="nothing"/>
      <w:lvlText w:val="%1、"/>
      <w:lvlJc w:val="left"/>
    </w:lvl>
  </w:abstractNum>
  <w:abstractNum w:abstractNumId="1">
    <w:nsid w:val="55822E6C"/>
    <w:multiLevelType w:val="multilevel"/>
    <w:tmpl w:val="55822E6C"/>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625F8"/>
    <w:rsid w:val="00105159"/>
    <w:rsid w:val="001F2C0B"/>
    <w:rsid w:val="002625F8"/>
    <w:rsid w:val="005301AB"/>
    <w:rsid w:val="00790B02"/>
    <w:rsid w:val="0080560C"/>
    <w:rsid w:val="00955097"/>
    <w:rsid w:val="00A50540"/>
    <w:rsid w:val="00B10E44"/>
    <w:rsid w:val="00B23A4D"/>
    <w:rsid w:val="00DB6849"/>
    <w:rsid w:val="00E555FF"/>
    <w:rsid w:val="00FB4E29"/>
    <w:rsid w:val="00FF10D7"/>
    <w:rsid w:val="28995CB8"/>
    <w:rsid w:val="748E1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2"/>
    <w:qFormat/>
    <w:uiPriority w:val="9"/>
    <w:pPr>
      <w:keepNext/>
      <w:keepLines/>
      <w:spacing w:before="340" w:after="330" w:line="576" w:lineRule="auto"/>
      <w:outlineLvl w:val="0"/>
    </w:pPr>
    <w:rPr>
      <w:b/>
      <w:kern w:val="44"/>
      <w:sz w:val="44"/>
    </w:rPr>
  </w:style>
  <w:style w:type="paragraph" w:styleId="3">
    <w:name w:val="heading 3"/>
    <w:basedOn w:val="1"/>
    <w:next w:val="1"/>
    <w:link w:val="13"/>
    <w:qFormat/>
    <w:uiPriority w:val="9"/>
    <w:pPr>
      <w:keepNext/>
      <w:keepLines/>
      <w:spacing w:before="260" w:after="260" w:line="416" w:lineRule="auto"/>
      <w:outlineLvl w:val="2"/>
    </w:pPr>
    <w:rPr>
      <w:rFonts w:ascii="Calibri" w:hAnsi="Calibr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6"/>
    <w:unhideWhenUsed/>
    <w:qFormat/>
    <w:uiPriority w:val="99"/>
    <w:pPr>
      <w:ind w:left="100" w:leftChars="2500"/>
    </w:pPr>
    <w:rPr>
      <w:rFonts w:asciiTheme="minorHAnsi" w:hAnsiTheme="minorHAnsi" w:eastAsiaTheme="minorEastAsia" w:cstheme="minorBidi"/>
      <w:szCs w:val="22"/>
    </w:rPr>
  </w:style>
  <w:style w:type="paragraph" w:styleId="5">
    <w:name w:val="footer"/>
    <w:basedOn w:val="1"/>
    <w:link w:val="18"/>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6">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0">
    <w:name w:val="page number"/>
    <w:basedOn w:val="9"/>
    <w:unhideWhenUsed/>
    <w:qFormat/>
    <w:uiPriority w:val="99"/>
  </w:style>
  <w:style w:type="character" w:styleId="11">
    <w:name w:val="Hyperlink"/>
    <w:basedOn w:val="9"/>
    <w:unhideWhenUsed/>
    <w:qFormat/>
    <w:uiPriority w:val="99"/>
    <w:rPr>
      <w:color w:val="0000FF"/>
      <w:u w:val="single"/>
    </w:rPr>
  </w:style>
  <w:style w:type="character" w:customStyle="1" w:styleId="12">
    <w:name w:val="标题 1 Char"/>
    <w:basedOn w:val="9"/>
    <w:link w:val="2"/>
    <w:qFormat/>
    <w:uiPriority w:val="9"/>
    <w:rPr>
      <w:rFonts w:ascii="Times New Roman" w:hAnsi="Times New Roman" w:eastAsia="宋体" w:cs="Times New Roman"/>
      <w:b/>
      <w:kern w:val="44"/>
      <w:sz w:val="44"/>
      <w:szCs w:val="20"/>
    </w:rPr>
  </w:style>
  <w:style w:type="character" w:customStyle="1" w:styleId="13">
    <w:name w:val="标题 3 Char"/>
    <w:basedOn w:val="9"/>
    <w:link w:val="3"/>
    <w:qFormat/>
    <w:uiPriority w:val="9"/>
    <w:rPr>
      <w:rFonts w:ascii="Calibri" w:hAnsi="Calibri" w:eastAsia="宋体" w:cs="Times New Roman"/>
      <w:b/>
      <w:bCs/>
      <w:sz w:val="32"/>
      <w:szCs w:val="32"/>
    </w:rPr>
  </w:style>
  <w:style w:type="character" w:customStyle="1" w:styleId="14">
    <w:name w:val="页脚 Char"/>
    <w:basedOn w:val="9"/>
    <w:link w:val="5"/>
    <w:qFormat/>
    <w:uiPriority w:val="0"/>
    <w:rPr>
      <w:sz w:val="18"/>
    </w:rPr>
  </w:style>
  <w:style w:type="character" w:customStyle="1" w:styleId="15">
    <w:name w:val="日期 Char"/>
    <w:basedOn w:val="9"/>
    <w:link w:val="4"/>
    <w:qFormat/>
    <w:uiPriority w:val="99"/>
  </w:style>
  <w:style w:type="character" w:customStyle="1" w:styleId="16">
    <w:name w:val="日期 Char1"/>
    <w:basedOn w:val="9"/>
    <w:link w:val="4"/>
    <w:semiHidden/>
    <w:qFormat/>
    <w:uiPriority w:val="99"/>
    <w:rPr>
      <w:rFonts w:ascii="Times New Roman" w:hAnsi="Times New Roman" w:eastAsia="宋体" w:cs="Times New Roman"/>
      <w:szCs w:val="20"/>
    </w:rPr>
  </w:style>
  <w:style w:type="character" w:customStyle="1" w:styleId="17">
    <w:name w:val="页眉 Char"/>
    <w:basedOn w:val="9"/>
    <w:link w:val="6"/>
    <w:qFormat/>
    <w:uiPriority w:val="0"/>
    <w:rPr>
      <w:rFonts w:ascii="Times New Roman" w:hAnsi="Times New Roman" w:eastAsia="宋体" w:cs="Times New Roman"/>
      <w:sz w:val="18"/>
      <w:szCs w:val="20"/>
    </w:rPr>
  </w:style>
  <w:style w:type="character" w:customStyle="1" w:styleId="18">
    <w:name w:val="页脚 Char1"/>
    <w:basedOn w:val="9"/>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9953BD-2AE3-4849-B150-A743EF4CF02F}">
  <ds:schemaRefs/>
</ds:datastoreItem>
</file>

<file path=docProps/app.xml><?xml version="1.0" encoding="utf-8"?>
<Properties xmlns="http://schemas.openxmlformats.org/officeDocument/2006/extended-properties" xmlns:vt="http://schemas.openxmlformats.org/officeDocument/2006/docPropsVTypes">
  <Template>Normal</Template>
  <Pages>65</Pages>
  <Words>4804</Words>
  <Characters>27383</Characters>
  <Lines>228</Lines>
  <Paragraphs>64</Paragraphs>
  <TotalTime>24</TotalTime>
  <ScaleCrop>false</ScaleCrop>
  <LinksUpToDate>false</LinksUpToDate>
  <CharactersWithSpaces>32123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2021-02-25T00:27:00Z</dcterms:created>
  <dc:creator>Administrator</dc:creator>
  <cp:lastModifiedBy>Administartor</cp:lastModifiedBy>
  <dcterms:modified xsi:type="dcterms:W3CDTF">2021-06-08T09:46:08Z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3217B403B3CF472486FA6C35329B89ED</vt:lpwstr>
  </property>
</Properties>
</file>