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snapToGrid/>
        <w:spacing w:line="580" w:lineRule="exact"/>
        <w:ind w:right="0" w:rightChars="0"/>
        <w:jc w:val="both"/>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附件2</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“6·16安全宣传咨询日”和“五进”宣传责任清单</w:t>
      </w:r>
    </w:p>
    <w:p>
      <w:pPr>
        <w:pStyle w:val="2"/>
        <w:rPr>
          <w:rFonts w:hint="default"/>
          <w:color w:val="000000" w:themeColor="text1"/>
          <w:lang w:eastAsia="zh-CN"/>
          <w14:textFill>
            <w14:solidFill>
              <w14:schemeClr w14:val="tx1"/>
            </w14:solidFill>
          </w14:textFill>
        </w:rPr>
      </w:pPr>
    </w:p>
    <w:tbl>
      <w:tblPr>
        <w:tblStyle w:val="11"/>
        <w:tblW w:w="1393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6306"/>
        <w:gridCol w:w="2106"/>
        <w:gridCol w:w="2007"/>
        <w:gridCol w:w="1811"/>
        <w:gridCol w:w="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序号</w:t>
            </w:r>
          </w:p>
        </w:tc>
        <w:tc>
          <w:tcPr>
            <w:tcW w:w="6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宣传内容</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责任单位</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活动时间</w:t>
            </w:r>
          </w:p>
        </w:tc>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宣传地点</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8"/>
                <w:szCs w:val="28"/>
                <w:u w:val="none"/>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6"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Style w:val="16"/>
                <w:color w:val="000000" w:themeColor="text1"/>
                <w:lang w:val="en-US" w:eastAsia="zh-CN" w:bidi="ar"/>
                <w14:textFill>
                  <w14:solidFill>
                    <w14:schemeClr w14:val="tx1"/>
                  </w14:solidFill>
                </w14:textFill>
              </w:rPr>
              <w:t>组织开展“安全宣传全屏传播”。</w:t>
            </w:r>
            <w:r>
              <w:rPr>
                <w:rStyle w:val="17"/>
                <w:color w:val="000000" w:themeColor="text1"/>
                <w:lang w:val="en-US" w:eastAsia="zh-CN" w:bidi="ar"/>
                <w14:textFill>
                  <w14:solidFill>
                    <w14:schemeClr w14:val="tx1"/>
                  </w14:solidFill>
                </w14:textFill>
              </w:rPr>
              <w:t>切实做好媒体宣传，营造安全生产浓厚氛围，制作公益广告、海报、短视频、提示语音等，利用各传播载体集中推送；组织相关单位在建筑工地、售楼部、市政、公用企业门口等醒目位置悬挂宣传横幅，利用电子屏滚动播放“安全生产月”宣传标语，营造良好的宣传氛围。</w:t>
            </w:r>
          </w:p>
        </w:tc>
        <w:tc>
          <w:tcPr>
            <w:tcW w:w="2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局办公室、房管科、公用科、公用所、市政建设管理中心、保障性住房服务中心</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2022年6月1日-6月30日</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办公楼、建筑工地、各售楼部、公用企业等醒目位置</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2"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6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Style w:val="18"/>
                <w:color w:val="000000" w:themeColor="text1"/>
                <w:lang w:val="en-US" w:eastAsia="zh-CN" w:bidi="ar"/>
                <w14:textFill>
                  <w14:solidFill>
                    <w14:schemeClr w14:val="tx1"/>
                  </w14:solidFill>
                </w14:textFill>
              </w:rPr>
              <w:t>开展安全宣传咨询活动。</w:t>
            </w:r>
            <w:r>
              <w:rPr>
                <w:rStyle w:val="19"/>
                <w:color w:val="000000" w:themeColor="text1"/>
                <w:lang w:val="en-US" w:eastAsia="zh-CN" w:bidi="ar"/>
                <w14:textFill>
                  <w14:solidFill>
                    <w14:schemeClr w14:val="tx1"/>
                  </w14:solidFill>
                </w14:textFill>
              </w:rPr>
              <w:t>集中宣传安全生产政策法规、应急避险和自救互救方法，在严格遵守疫情防控要求的前提下，因地制宜，通过制定发放宣传资料、现场咨询问答等，讲解《安全生产法》、《建筑法》《建筑工程质量管理条例》等内容，提高人民群众的安全生产意识，扩大宣传面，提高社会关注度。</w:t>
            </w:r>
          </w:p>
        </w:tc>
        <w:tc>
          <w:tcPr>
            <w:tcW w:w="2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建管科</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建管站</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质监站</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bookmarkStart w:id="0" w:name="_GoBack"/>
            <w:bookmarkEnd w:id="0"/>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022年6月16日</w:t>
            </w:r>
          </w:p>
        </w:tc>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开源广场</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序号</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宣传内容</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责任单位</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活动时间</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宣传地点</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8"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Style w:val="16"/>
                <w:color w:val="000000" w:themeColor="text1"/>
                <w:lang w:val="en-US" w:eastAsia="zh-CN" w:bidi="ar"/>
                <w14:textFill>
                  <w14:solidFill>
                    <w14:schemeClr w14:val="tx1"/>
                  </w14:solidFill>
                </w14:textFill>
              </w:rPr>
              <w:t>持续加强安全用气宣传引导。</w:t>
            </w:r>
            <w:r>
              <w:rPr>
                <w:rStyle w:val="19"/>
                <w:color w:val="000000" w:themeColor="text1"/>
                <w:lang w:val="en-US" w:eastAsia="zh-CN" w:bidi="ar"/>
                <w14:textFill>
                  <w14:solidFill>
                    <w14:schemeClr w14:val="tx1"/>
                  </w14:solidFill>
                </w14:textFill>
              </w:rPr>
              <w:t>进一步开展线下线上立体宣传，印制燃气安全宣传手册，经燃气企业、社区向居民和商业用户发放，普及相关条例法规、安全常识以及相关典型事故案例；深入社区宣传正确使用液化气安全知识及防范安全隐患相关常识，介绍违反使用燃气安全操作规程的危害性。督促燃气企业落实入户安检义务，组织燃气企业开展安全用气进餐厅、进社区、进家庭活动，积极推广微信、微博等新媒体平台宣传引导，加大安全使用燃气宣传工作，提高用气单位和广大群众的安全防范意识。</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公用科</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公用所</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2022年</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6月-12月</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办公楼、公用企业、各住宅小区</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Style w:val="16"/>
                <w:color w:val="000000" w:themeColor="text1"/>
                <w:lang w:val="en-US" w:eastAsia="zh-CN" w:bidi="ar"/>
                <w14:textFill>
                  <w14:solidFill>
                    <w14:schemeClr w14:val="tx1"/>
                  </w14:solidFill>
                </w14:textFill>
              </w:rPr>
              <w:t>开展汛期安全防范知识宣传。</w:t>
            </w:r>
            <w:r>
              <w:rPr>
                <w:rStyle w:val="17"/>
                <w:color w:val="000000" w:themeColor="text1"/>
                <w:lang w:val="en-US" w:eastAsia="zh-CN" w:bidi="ar"/>
                <w14:textFill>
                  <w14:solidFill>
                    <w14:schemeClr w14:val="tx1"/>
                  </w14:solidFill>
                </w14:textFill>
              </w:rPr>
              <w:t>认真贯彻落实习近平总书记关于防灾减灾救灾工作的重要论述，深刻汲取河南郑州“7·20”特大暴雨灾害教训，以案为鉴，警钟长鸣，扎实开展防汛知识业务学习和知识宣传，切实提高住建系统领导干部防灾减灾责任意识和应急能力，坚决扛起住建领域防汛责任，全面提升住建领域自然灾害防治能力，全力保障人民群众生命财产安全。</w:t>
            </w:r>
          </w:p>
        </w:tc>
        <w:tc>
          <w:tcPr>
            <w:tcW w:w="2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市政建设</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管理中心</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2022年</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6月-12月</w:t>
            </w:r>
          </w:p>
        </w:tc>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办公楼</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序号</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宣传内容</w:t>
            </w:r>
          </w:p>
        </w:tc>
        <w:tc>
          <w:tcPr>
            <w:tcW w:w="2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责任单位</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活动时间</w:t>
            </w:r>
          </w:p>
        </w:tc>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宣传地点</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kern w:val="2"/>
                <w:sz w:val="28"/>
                <w:szCs w:val="28"/>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8"/>
                <w:szCs w:val="2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5"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6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Style w:val="16"/>
                <w:color w:val="000000" w:themeColor="text1"/>
                <w:lang w:val="en-US" w:eastAsia="zh-CN" w:bidi="ar"/>
                <w14:textFill>
                  <w14:solidFill>
                    <w14:schemeClr w14:val="tx1"/>
                  </w14:solidFill>
                </w14:textFill>
              </w:rPr>
              <w:t>扎实推进安全宣传“五进”活动。</w:t>
            </w:r>
            <w:r>
              <w:rPr>
                <w:rStyle w:val="17"/>
                <w:color w:val="000000" w:themeColor="text1"/>
                <w:lang w:val="en-US" w:eastAsia="zh-CN" w:bidi="ar"/>
                <w14:textFill>
                  <w14:solidFill>
                    <w14:schemeClr w14:val="tx1"/>
                  </w14:solidFill>
                </w14:textFill>
              </w:rPr>
              <w:t>加强保障性住房小区、公租房小区防火知识宣传力度，通过发放消防安全知识手册、宣传单和粘贴宣传海报等方式，组织开展参与“进门入户送安全”活动，向群众详细讲解火灾的危害性和预防火灾的重要性，提高群众防火意识。联合社区开展防灾避险逃生演练活动，共同推动安全宣传进企业、进农村、进社区、进学校、进家庭，切实提升住房和城乡建设领域从业人员和住宅小区居民安全意识和应急处置能力。</w:t>
            </w:r>
          </w:p>
        </w:tc>
        <w:tc>
          <w:tcPr>
            <w:tcW w:w="2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住房保障科、房管科、保障性住房</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服务中心</w:t>
            </w:r>
          </w:p>
        </w:tc>
        <w:tc>
          <w:tcPr>
            <w:tcW w:w="2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2022年</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6月-12月</w:t>
            </w:r>
          </w:p>
        </w:tc>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各物业小区</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说明</w:t>
            </w:r>
          </w:p>
        </w:tc>
        <w:tc>
          <w:tcPr>
            <w:tcW w:w="1311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eastAsia="zh-CN"/>
                <w14:textFill>
                  <w14:solidFill>
                    <w14:schemeClr w14:val="tx1"/>
                  </w14:solidFill>
                </w14:textFill>
              </w:rPr>
              <w:t>各宣传模块宣传材料由各责任单位自行准备。</w:t>
            </w:r>
          </w:p>
        </w:tc>
      </w:tr>
    </w:tbl>
    <w:p>
      <w:pPr>
        <w:rPr>
          <w:rFonts w:hint="default"/>
          <w:color w:val="000000" w:themeColor="text1"/>
          <w:lang w:eastAsia="zh-CN"/>
          <w14:textFill>
            <w14:solidFill>
              <w14:schemeClr w14:val="tx1"/>
            </w14:solidFill>
          </w14:textFill>
        </w:rPr>
        <w:sectPr>
          <w:pgSz w:w="16838" w:h="11906" w:orient="landscape"/>
          <w:pgMar w:top="1587" w:right="1814" w:bottom="1587" w:left="1587" w:header="851" w:footer="1417" w:gutter="0"/>
          <w:pgNumType w:fmt="numberInDash"/>
          <w:cols w:space="0" w:num="1"/>
          <w:rtlGutter w:val="0"/>
          <w:docGrid w:type="lines" w:linePitch="579" w:charSpace="0"/>
        </w:sectPr>
      </w:pPr>
    </w:p>
    <w:p>
      <w:pPr>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附件3</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吴忠市区住建领域应急演练责任清单</w:t>
      </w:r>
    </w:p>
    <w:p>
      <w:pPr>
        <w:pStyle w:val="2"/>
        <w:rPr>
          <w:rFonts w:hint="eastAsia"/>
          <w:color w:val="000000" w:themeColor="text1"/>
          <w:lang w:val="en-US" w:eastAsia="zh-CN"/>
          <w14:textFill>
            <w14:solidFill>
              <w14:schemeClr w14:val="tx1"/>
            </w14:solidFill>
          </w14:textFill>
        </w:rPr>
      </w:pPr>
    </w:p>
    <w:tbl>
      <w:tblPr>
        <w:tblStyle w:val="12"/>
        <w:tblW w:w="13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7516"/>
        <w:gridCol w:w="2804"/>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tcPr>
          <w:p>
            <w:pPr>
              <w:jc w:val="center"/>
              <w:rPr>
                <w:rFonts w:hint="eastAsia" w:ascii="黑体" w:hAnsi="黑体" w:eastAsia="黑体" w:cs="黑体"/>
                <w:color w:val="000000" w:themeColor="text1"/>
                <w:sz w:val="32"/>
                <w:szCs w:val="32"/>
                <w:vertAlign w:val="baseline"/>
                <w:lang w:eastAsia="zh-CN"/>
                <w14:textFill>
                  <w14:solidFill>
                    <w14:schemeClr w14:val="tx1"/>
                  </w14:solidFill>
                </w14:textFill>
              </w:rPr>
            </w:pPr>
            <w:r>
              <w:rPr>
                <w:rFonts w:hint="eastAsia" w:ascii="黑体" w:hAnsi="黑体" w:eastAsia="黑体" w:cs="黑体"/>
                <w:color w:val="000000" w:themeColor="text1"/>
                <w:sz w:val="32"/>
                <w:szCs w:val="32"/>
                <w:vertAlign w:val="baseline"/>
                <w:lang w:eastAsia="zh-CN"/>
                <w14:textFill>
                  <w14:solidFill>
                    <w14:schemeClr w14:val="tx1"/>
                  </w14:solidFill>
                </w14:textFill>
              </w:rPr>
              <w:t>序号</w:t>
            </w:r>
          </w:p>
        </w:tc>
        <w:tc>
          <w:tcPr>
            <w:tcW w:w="7516" w:type="dxa"/>
          </w:tcPr>
          <w:p>
            <w:pPr>
              <w:jc w:val="center"/>
              <w:rPr>
                <w:rFonts w:hint="eastAsia" w:ascii="黑体" w:hAnsi="黑体" w:eastAsia="黑体" w:cs="黑体"/>
                <w:color w:val="000000" w:themeColor="text1"/>
                <w:sz w:val="32"/>
                <w:szCs w:val="32"/>
                <w:vertAlign w:val="baseline"/>
                <w:lang w:eastAsia="zh-CN"/>
                <w14:textFill>
                  <w14:solidFill>
                    <w14:schemeClr w14:val="tx1"/>
                  </w14:solidFill>
                </w14:textFill>
              </w:rPr>
            </w:pPr>
            <w:r>
              <w:rPr>
                <w:rFonts w:hint="eastAsia" w:ascii="黑体" w:hAnsi="黑体" w:eastAsia="黑体" w:cs="黑体"/>
                <w:color w:val="000000" w:themeColor="text1"/>
                <w:sz w:val="32"/>
                <w:szCs w:val="32"/>
                <w:vertAlign w:val="baseline"/>
                <w:lang w:eastAsia="zh-CN"/>
                <w14:textFill>
                  <w14:solidFill>
                    <w14:schemeClr w14:val="tx1"/>
                  </w14:solidFill>
                </w14:textFill>
              </w:rPr>
              <w:t>应急演练具体内容</w:t>
            </w:r>
          </w:p>
        </w:tc>
        <w:tc>
          <w:tcPr>
            <w:tcW w:w="2804" w:type="dxa"/>
          </w:tcPr>
          <w:p>
            <w:pPr>
              <w:jc w:val="center"/>
              <w:rPr>
                <w:rFonts w:hint="eastAsia" w:ascii="黑体" w:hAnsi="黑体" w:eastAsia="黑体" w:cs="黑体"/>
                <w:color w:val="000000" w:themeColor="text1"/>
                <w:sz w:val="32"/>
                <w:szCs w:val="32"/>
                <w:vertAlign w:val="baseline"/>
                <w:lang w:eastAsia="zh-CN"/>
                <w14:textFill>
                  <w14:solidFill>
                    <w14:schemeClr w14:val="tx1"/>
                  </w14:solidFill>
                </w14:textFill>
              </w:rPr>
            </w:pPr>
            <w:r>
              <w:rPr>
                <w:rFonts w:hint="eastAsia" w:ascii="黑体" w:hAnsi="黑体" w:eastAsia="黑体" w:cs="黑体"/>
                <w:color w:val="000000" w:themeColor="text1"/>
                <w:sz w:val="32"/>
                <w:szCs w:val="32"/>
                <w:vertAlign w:val="baseline"/>
                <w:lang w:eastAsia="zh-CN"/>
                <w14:textFill>
                  <w14:solidFill>
                    <w14:schemeClr w14:val="tx1"/>
                  </w14:solidFill>
                </w14:textFill>
              </w:rPr>
              <w:t>责任单位</w:t>
            </w:r>
          </w:p>
        </w:tc>
        <w:tc>
          <w:tcPr>
            <w:tcW w:w="2586" w:type="dxa"/>
          </w:tcPr>
          <w:p>
            <w:pPr>
              <w:jc w:val="center"/>
              <w:rPr>
                <w:rFonts w:hint="eastAsia" w:ascii="黑体" w:hAnsi="黑体" w:eastAsia="黑体" w:cs="黑体"/>
                <w:color w:val="000000" w:themeColor="text1"/>
                <w:sz w:val="32"/>
                <w:szCs w:val="32"/>
                <w:vertAlign w:val="baseline"/>
                <w:lang w:eastAsia="zh-CN"/>
                <w14:textFill>
                  <w14:solidFill>
                    <w14:schemeClr w14:val="tx1"/>
                  </w14:solidFill>
                </w14:textFill>
              </w:rPr>
            </w:pPr>
            <w:r>
              <w:rPr>
                <w:rFonts w:hint="eastAsia" w:ascii="黑体" w:hAnsi="黑体" w:eastAsia="黑体" w:cs="黑体"/>
                <w:color w:val="000000" w:themeColor="text1"/>
                <w:sz w:val="32"/>
                <w:szCs w:val="32"/>
                <w:vertAlign w:val="baseline"/>
                <w:lang w:eastAsia="zh-CN"/>
                <w14:textFill>
                  <w14:solidFill>
                    <w14:schemeClr w14:val="tx1"/>
                  </w14:solidFill>
                </w14:textFill>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989"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1</w:t>
            </w:r>
          </w:p>
        </w:tc>
        <w:tc>
          <w:tcPr>
            <w:tcW w:w="751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14:textFill>
                  <w14:solidFill>
                    <w14:schemeClr w14:val="tx1"/>
                  </w14:solidFill>
                </w14:textFill>
              </w:rPr>
              <w:t>组织</w:t>
            </w:r>
            <w:r>
              <w:rPr>
                <w:rFonts w:hint="default" w:ascii="Times New Roman" w:hAnsi="Times New Roman" w:eastAsia="仿宋_GB2312" w:cs="Times New Roman"/>
                <w:b w:val="0"/>
                <w:bCs w:val="0"/>
                <w:color w:val="000000" w:themeColor="text1"/>
                <w:kern w:val="2"/>
                <w:sz w:val="28"/>
                <w:szCs w:val="28"/>
                <w:lang w:val="en-US" w:eastAsia="zh-CN" w:bidi="ar-SA"/>
                <w14:textFill>
                  <w14:solidFill>
                    <w14:schemeClr w14:val="tx1"/>
                  </w14:solidFill>
                </w14:textFill>
              </w:rPr>
              <w:t>建筑业从业人员</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开展基坑</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坍塌、高空坠落</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物体打击、防触电、</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有限空间作业等</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综合性</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安全事故应急救援演练</w:t>
            </w: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建管站</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质监站</w:t>
            </w:r>
          </w:p>
        </w:tc>
        <w:tc>
          <w:tcPr>
            <w:tcW w:w="2586"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2022年</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6月</w:t>
            </w:r>
            <w:r>
              <w:rPr>
                <w:rFonts w:hint="eastAsia"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25日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eastAsia"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989"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2</w:t>
            </w:r>
          </w:p>
        </w:tc>
        <w:tc>
          <w:tcPr>
            <w:tcW w:w="751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组织供热、供水、燃气等企业开展综合性应急演练</w:t>
            </w:r>
            <w:r>
              <w:rPr>
                <w:rFonts w:hint="eastAsia" w:ascii="Times New Roman" w:hAnsi="Times New Roman" w:eastAsia="仿宋_GB2312" w:cs="Times New Roman"/>
                <w:b w:val="0"/>
                <w:bCs w:val="0"/>
                <w:color w:val="000000" w:themeColor="text1"/>
                <w:sz w:val="28"/>
                <w:szCs w:val="28"/>
                <w:lang w:eastAsia="zh-CN"/>
                <w14:textFill>
                  <w14:solidFill>
                    <w14:schemeClr w14:val="tx1"/>
                  </w14:solidFill>
                </w14:textFill>
              </w:rPr>
              <w:t>。</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公用科</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公用所</w:t>
            </w:r>
          </w:p>
        </w:tc>
        <w:tc>
          <w:tcPr>
            <w:tcW w:w="2586"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9"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3</w:t>
            </w:r>
          </w:p>
        </w:tc>
        <w:tc>
          <w:tcPr>
            <w:tcW w:w="751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组织开展城市防洪排涝演练</w:t>
            </w:r>
            <w:r>
              <w:rPr>
                <w:rFonts w:hint="eastAsia" w:ascii="Times New Roman" w:hAnsi="Times New Roman" w:eastAsia="仿宋_GB2312" w:cs="Times New Roman"/>
                <w:b w:val="0"/>
                <w:bCs w:val="0"/>
                <w:color w:val="000000" w:themeColor="text1"/>
                <w:sz w:val="28"/>
                <w:szCs w:val="28"/>
                <w:lang w:eastAsia="zh-CN"/>
                <w14:textFill>
                  <w14:solidFill>
                    <w14:schemeClr w14:val="tx1"/>
                  </w14:solidFill>
                </w14:textFill>
              </w:rPr>
              <w:t>。</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公用科</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市政建设管理中心</w:t>
            </w:r>
          </w:p>
        </w:tc>
        <w:tc>
          <w:tcPr>
            <w:tcW w:w="2586"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30"/>
                <w:szCs w:val="30"/>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9"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vertAlign w:val="baseline"/>
                <w:lang w:val="en-US" w:eastAsia="zh-CN"/>
                <w14:textFill>
                  <w14:solidFill>
                    <w14:schemeClr w14:val="tx1"/>
                  </w14:solidFill>
                </w14:textFill>
              </w:rPr>
              <w:t>4</w:t>
            </w:r>
          </w:p>
        </w:tc>
        <w:tc>
          <w:tcPr>
            <w:tcW w:w="751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组织物业企业开展消防安全应急演练</w:t>
            </w:r>
            <w:r>
              <w:rPr>
                <w:rFonts w:hint="eastAsia" w:ascii="Times New Roman" w:hAnsi="Times New Roman" w:eastAsia="仿宋_GB2312" w:cs="Times New Roman"/>
                <w:b w:val="0"/>
                <w:bCs w:val="0"/>
                <w:color w:val="000000" w:themeColor="text1"/>
                <w:sz w:val="28"/>
                <w:szCs w:val="28"/>
                <w:lang w:eastAsia="zh-CN"/>
                <w14:textFill>
                  <w14:solidFill>
                    <w14:schemeClr w14:val="tx1"/>
                  </w14:solidFill>
                </w14:textFill>
              </w:rPr>
              <w:t>。</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房管科</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b w:val="0"/>
                <w:bCs w:val="0"/>
                <w:color w:val="000000" w:themeColor="text1"/>
                <w:sz w:val="28"/>
                <w:szCs w:val="28"/>
                <w:vertAlign w:val="baseli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保障性住房服务中心</w:t>
            </w:r>
          </w:p>
        </w:tc>
        <w:tc>
          <w:tcPr>
            <w:tcW w:w="2586"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val="0"/>
                <w:bCs w:val="0"/>
                <w:color w:val="000000" w:themeColor="text1"/>
                <w:sz w:val="30"/>
                <w:szCs w:val="30"/>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989"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vertAlign w:val="baseline"/>
                <w:lang w:eastAsia="zh-CN"/>
                <w14:textFill>
                  <w14:solidFill>
                    <w14:schemeClr w14:val="tx1"/>
                  </w14:solidFill>
                </w14:textFill>
              </w:rPr>
              <w:t>活动要求</w:t>
            </w:r>
          </w:p>
        </w:tc>
        <w:tc>
          <w:tcPr>
            <w:tcW w:w="12906" w:type="dxa"/>
            <w:gridSpan w:val="3"/>
          </w:tcPr>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县（市、区）按照属地管理职责，组织属地相关企业及时开展应急演练工作。</w:t>
            </w:r>
            <w:r>
              <w:rPr>
                <w:rFonts w:hint="eastAsia" w:ascii="仿宋_GB2312" w:hAnsi="仿宋_GB2312" w:eastAsia="仿宋_GB2312" w:cs="仿宋_GB2312"/>
                <w:b w:val="0"/>
                <w:bCs w:val="0"/>
                <w:color w:val="000000" w:themeColor="text1"/>
                <w:sz w:val="28"/>
                <w:szCs w:val="28"/>
                <w:lang w:val="en" w:eastAsia="zh-CN"/>
                <w14:textFill>
                  <w14:solidFill>
                    <w14:schemeClr w14:val="tx1"/>
                  </w14:solidFill>
                </w14:textFill>
              </w:rPr>
              <w:t>各地、各部门、各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单位要认真筹划，精心组织，周密部署，</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组织相关企业，认真</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编制应急预案方案</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，开展综合性安全事故应急演练，认真</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做好演练评估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，根据评估结果及时完善应急预案，建立完善的应急管理体系，确保发生安全事故时，能够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及时、快速、完整、准确的将演练内容按预定预案完成，将模拟演练与实际突发情况做到有机结合。</w:t>
            </w:r>
          </w:p>
        </w:tc>
      </w:tr>
    </w:tbl>
    <w:p>
      <w:pPr>
        <w:keepNext w:val="0"/>
        <w:keepLines w:val="0"/>
        <w:pageBreakBefore w:val="0"/>
        <w:widowControl w:val="0"/>
        <w:kinsoku/>
        <w:wordWrap/>
        <w:overflowPunct w:val="0"/>
        <w:topLinePunct w:val="0"/>
        <w:autoSpaceDE/>
        <w:autoSpaceDN/>
        <w:bidi w:val="0"/>
        <w:adjustRightInd/>
        <w:snapToGrid/>
        <w:spacing w:line="580" w:lineRule="exact"/>
        <w:ind w:right="0" w:rightChars="0"/>
        <w:jc w:val="left"/>
        <w:textAlignment w:val="auto"/>
        <w:rPr>
          <w:rFonts w:hint="eastAsia" w:ascii="黑体" w:hAnsi="黑体" w:eastAsia="黑体" w:cs="黑体"/>
          <w:b w:val="0"/>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val="0"/>
          <w:color w:val="000000" w:themeColor="text1"/>
          <w:kern w:val="0"/>
          <w:sz w:val="32"/>
          <w:szCs w:val="32"/>
          <w:lang w:val="en-US" w:eastAsia="zh-CN"/>
          <w14:textFill>
            <w14:solidFill>
              <w14:schemeClr w14:val="tx1"/>
            </w14:solidFill>
          </w14:textFill>
        </w:rPr>
        <w:t>附件4</w:t>
      </w:r>
    </w:p>
    <w:p>
      <w:pPr>
        <w:pStyle w:val="2"/>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方正小标宋简体" w:hAnsi="方正小标宋简体" w:eastAsia="方正小标宋简体" w:cs="方正小标宋简体"/>
          <w:b w:val="0"/>
          <w:bCs w:val="0"/>
          <w:color w:val="000000" w:themeColor="text1"/>
          <w:kern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lang w:val="en-US" w:eastAsia="zh-CN"/>
          <w14:textFill>
            <w14:solidFill>
              <w14:schemeClr w14:val="tx1"/>
            </w14:solidFill>
          </w14:textFill>
        </w:rPr>
        <w:t>吴忠市区在建项目施工单位、公用事业企业“第一责任人”</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方正小标宋简体" w:hAnsi="方正小标宋简体" w:eastAsia="方正小标宋简体" w:cs="方正小标宋简体"/>
          <w:b w:val="0"/>
          <w:bCs w:val="0"/>
          <w:color w:val="000000" w:themeColor="text1"/>
          <w:kern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lang w:val="en-US" w:eastAsia="zh-CN"/>
          <w14:textFill>
            <w14:solidFill>
              <w14:schemeClr w14:val="tx1"/>
            </w14:solidFill>
          </w14:textFill>
        </w:rPr>
        <w:t>集中谈责任安排表（安全生产主体）</w:t>
      </w:r>
    </w:p>
    <w:tbl>
      <w:tblPr>
        <w:tblStyle w:val="12"/>
        <w:tblpPr w:leftFromText="180" w:rightFromText="180" w:vertAnchor="text" w:horzAnchor="page" w:tblpX="1480" w:tblpY="384"/>
        <w:tblOverlap w:val="never"/>
        <w:tblW w:w="14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065"/>
        <w:gridCol w:w="15"/>
        <w:gridCol w:w="1229"/>
        <w:gridCol w:w="4996"/>
        <w:gridCol w:w="1582"/>
        <w:gridCol w:w="2313"/>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1059"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序号</w:t>
            </w:r>
          </w:p>
        </w:tc>
        <w:tc>
          <w:tcPr>
            <w:tcW w:w="3065"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施工单位代表</w:t>
            </w:r>
          </w:p>
        </w:tc>
        <w:tc>
          <w:tcPr>
            <w:tcW w:w="1244" w:type="dxa"/>
            <w:gridSpan w:val="2"/>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活动</w:t>
            </w:r>
          </w:p>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组织方</w:t>
            </w:r>
          </w:p>
        </w:tc>
        <w:tc>
          <w:tcPr>
            <w:tcW w:w="4996"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谈话内容</w:t>
            </w:r>
          </w:p>
        </w:tc>
        <w:tc>
          <w:tcPr>
            <w:tcW w:w="1582"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时间</w:t>
            </w:r>
          </w:p>
        </w:tc>
        <w:tc>
          <w:tcPr>
            <w:tcW w:w="2313"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1</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中国铁建大桥工程局</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集团有限公司</w:t>
            </w:r>
          </w:p>
        </w:tc>
        <w:tc>
          <w:tcPr>
            <w:tcW w:w="1229"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建管科</w:t>
            </w:r>
          </w:p>
          <w:p>
            <w:pPr>
              <w:pageBreakBefore w:val="0"/>
              <w:widowControl w:val="0"/>
              <w:kinsoku/>
              <w:wordWrap/>
              <w:topLinePunct w:val="0"/>
              <w:autoSpaceDE/>
              <w:autoSpaceDN/>
              <w:bidi w:val="0"/>
              <w:adjustRightInd/>
              <w:snapToGrid/>
              <w:spacing w:line="580" w:lineRule="exact"/>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公用科</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建管站</w:t>
            </w:r>
          </w:p>
          <w:p>
            <w:pPr>
              <w:pStyle w:val="2"/>
              <w:pageBreakBefore w:val="0"/>
              <w:widowControl w:val="0"/>
              <w:kinsoku/>
              <w:wordWrap/>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质监站</w:t>
            </w:r>
          </w:p>
          <w:p>
            <w:pPr>
              <w:pStyle w:val="2"/>
              <w:pageBreakBefore w:val="0"/>
              <w:widowControl w:val="0"/>
              <w:kinsoku/>
              <w:wordWrap/>
              <w:topLinePunct w:val="0"/>
              <w:autoSpaceDE/>
              <w:autoSpaceDN/>
              <w:bidi w:val="0"/>
              <w:adjustRightInd/>
              <w:snapToGrid/>
              <w:spacing w:line="580" w:lineRule="exact"/>
              <w:ind w:left="0" w:leftChars="0" w:firstLine="0" w:firstLineChars="0"/>
              <w:jc w:val="center"/>
              <w:textAlignment w:val="auto"/>
              <w:rPr>
                <w:rFonts w:hint="eastAsia"/>
                <w:lang w:val="en-US" w:eastAsia="zh-CN"/>
              </w:rPr>
            </w:pPr>
            <w:r>
              <w:rPr>
                <w:rFonts w:hint="eastAsia" w:ascii="仿宋_GB2312" w:hAnsi="仿宋_GB2312" w:eastAsia="仿宋_GB2312" w:cs="仿宋_GB2312"/>
                <w:b w:val="0"/>
                <w:bCs w:val="0"/>
                <w:color w:val="000000" w:themeColor="text1"/>
                <w:kern w:val="0"/>
                <w:sz w:val="30"/>
                <w:szCs w:val="30"/>
                <w:vertAlign w:val="baseline"/>
                <w:lang w:val="en-US" w:eastAsia="zh-CN" w:bidi="ar-SA"/>
                <w14:textFill>
                  <w14:solidFill>
                    <w14:schemeClr w14:val="tx1"/>
                  </w14:solidFill>
                </w14:textFill>
              </w:rPr>
              <w:t>公用所</w:t>
            </w:r>
          </w:p>
        </w:tc>
        <w:tc>
          <w:tcPr>
            <w:tcW w:w="4996"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firstLine="560" w:firstLineChars="200"/>
              <w:jc w:val="both"/>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县（市、区）按照属地管理职责，组织属地相关企业及时开展此项工作，</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紧扣“第一责任人”7项职责</w:t>
            </w:r>
            <w:r>
              <w:rPr>
                <w:rFonts w:hint="eastAsia" w:ascii="Times New Roman" w:hAnsi="Times New Roman" w:eastAsia="仿宋_GB2312" w:cs="Times New Roman"/>
                <w:b w:val="0"/>
                <w:bCs w:val="0"/>
                <w:color w:val="000000" w:themeColor="text1"/>
                <w:sz w:val="28"/>
                <w:szCs w:val="28"/>
                <w:lang w:val="en"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围绕“</w:t>
            </w: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国务院安全生产“十五条硬措施”和自治区安全生产“二十条措施”，结合综合执法检查和各类专项检查，</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分层级组织企业主要负责人谈话，促其牢记自身职责、抓好安全生产。</w:t>
            </w:r>
          </w:p>
        </w:tc>
        <w:tc>
          <w:tcPr>
            <w:tcW w:w="158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2022年</w:t>
            </w:r>
          </w:p>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6月25日</w:t>
            </w:r>
          </w:p>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default"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之前（具体时间见通知文件）</w:t>
            </w:r>
          </w:p>
        </w:tc>
        <w:tc>
          <w:tcPr>
            <w:tcW w:w="2328" w:type="dxa"/>
            <w:gridSpan w:val="2"/>
            <w:vMerge w:val="restart"/>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480" w:lineRule="exact"/>
              <w:ind w:right="0" w:rightChars="0"/>
              <w:jc w:val="both"/>
              <w:textAlignment w:val="auto"/>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t>1.集中谈责任企业提前准备好交流发言材料；</w:t>
            </w:r>
          </w:p>
          <w:p>
            <w:pPr>
              <w:keepNext w:val="0"/>
              <w:keepLines w:val="0"/>
              <w:pageBreakBefore w:val="0"/>
              <w:widowControl w:val="0"/>
              <w:numPr>
                <w:ilvl w:val="0"/>
                <w:numId w:val="0"/>
              </w:numPr>
              <w:kinsoku/>
              <w:wordWrap/>
              <w:overflowPunct w:val="0"/>
              <w:topLinePunct w:val="0"/>
              <w:autoSpaceDE/>
              <w:autoSpaceDN/>
              <w:bidi w:val="0"/>
              <w:adjustRightInd/>
              <w:snapToGrid/>
              <w:spacing w:line="480" w:lineRule="exact"/>
              <w:ind w:right="0" w:rightChars="0"/>
              <w:jc w:val="both"/>
              <w:textAlignment w:val="auto"/>
              <w:rPr>
                <w:rFonts w:hint="default"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t>2.其他企业结合微视频创作、单位安全生产工作专题报告会、媒体访谈、撰写文章等方式自行组织开展。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2</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宁夏宏远建筑工程</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3</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宁夏第七建筑工程</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4</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宁夏锐翔建设集团</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5</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中铁十六局集团有限公司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序号</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施工单位代表</w:t>
            </w:r>
          </w:p>
        </w:tc>
        <w:tc>
          <w:tcPr>
            <w:tcW w:w="1229" w:type="dxa"/>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活动</w:t>
            </w:r>
          </w:p>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组织方</w:t>
            </w:r>
          </w:p>
        </w:tc>
        <w:tc>
          <w:tcPr>
            <w:tcW w:w="4996"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谈话内容</w:t>
            </w:r>
          </w:p>
        </w:tc>
        <w:tc>
          <w:tcPr>
            <w:tcW w:w="1582"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时间</w:t>
            </w:r>
          </w:p>
        </w:tc>
        <w:tc>
          <w:tcPr>
            <w:tcW w:w="2328" w:type="dxa"/>
            <w:gridSpan w:val="2"/>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黑体" w:hAnsi="黑体" w:eastAsia="黑体" w:cs="黑体"/>
                <w:b w:val="0"/>
                <w:bCs w:val="0"/>
                <w:color w:val="000000" w:themeColor="text1"/>
                <w:kern w:val="0"/>
                <w:sz w:val="28"/>
                <w:szCs w:val="28"/>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vertAlign w:val="baseline"/>
                <w:lang w:val="en-US" w:eastAsia="zh-CN"/>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6</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吴忠市新南天然气</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t>有限责任公司</w:t>
            </w:r>
          </w:p>
        </w:tc>
        <w:tc>
          <w:tcPr>
            <w:tcW w:w="1229"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建管科</w:t>
            </w:r>
          </w:p>
          <w:p>
            <w:pPr>
              <w:pageBreakBefore w:val="0"/>
              <w:widowControl w:val="0"/>
              <w:kinsoku/>
              <w:wordWrap/>
              <w:topLinePunct w:val="0"/>
              <w:autoSpaceDE/>
              <w:autoSpaceDN/>
              <w:bidi w:val="0"/>
              <w:adjustRightInd/>
              <w:snapToGrid/>
              <w:spacing w:line="580" w:lineRule="exact"/>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公用科</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建管站</w:t>
            </w:r>
          </w:p>
          <w:p>
            <w:pPr>
              <w:pStyle w:val="2"/>
              <w:pageBreakBefore w:val="0"/>
              <w:widowControl w:val="0"/>
              <w:kinsoku/>
              <w:wordWrap/>
              <w:topLinePunct w:val="0"/>
              <w:autoSpaceDE/>
              <w:autoSpaceDN/>
              <w:bidi w:val="0"/>
              <w:adjustRightInd/>
              <w:snapToGrid/>
              <w:spacing w:line="580" w:lineRule="exact"/>
              <w:ind w:left="0" w:leftChars="0" w:firstLine="0" w:firstLine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质监站</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0"/>
                <w:szCs w:val="30"/>
                <w:vertAlign w:val="baseline"/>
                <w:lang w:val="en-US" w:eastAsia="zh-CN" w:bidi="ar-SA"/>
                <w14:textFill>
                  <w14:solidFill>
                    <w14:schemeClr w14:val="tx1"/>
                  </w14:solidFill>
                </w14:textFill>
              </w:rPr>
              <w:t>公用所</w:t>
            </w:r>
          </w:p>
        </w:tc>
        <w:tc>
          <w:tcPr>
            <w:tcW w:w="4996"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firstLine="560" w:firstLineChars="200"/>
              <w:jc w:val="both"/>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lang w:eastAsia="zh-CN"/>
                <w14:textFill>
                  <w14:solidFill>
                    <w14:schemeClr w14:val="tx1"/>
                  </w14:solidFill>
                </w14:textFill>
              </w:rPr>
              <w:t>县（市、区）按照属地管理职责，组织属地相关企业及时开展此项工作，</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紧扣“第一责任人”7项职责</w:t>
            </w:r>
            <w:r>
              <w:rPr>
                <w:rFonts w:hint="eastAsia" w:ascii="Times New Roman" w:hAnsi="Times New Roman" w:eastAsia="仿宋_GB2312" w:cs="Times New Roman"/>
                <w:b w:val="0"/>
                <w:bCs w:val="0"/>
                <w:color w:val="000000" w:themeColor="text1"/>
                <w:sz w:val="28"/>
                <w:szCs w:val="28"/>
                <w:lang w:val="en"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围绕“</w:t>
            </w: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国务院安全生产“十五条硬措施”和自治区安全生产“二十条措施”，结合综合执法检查和各类专项检查，</w:t>
            </w:r>
            <w:r>
              <w:rPr>
                <w:rFonts w:hint="default" w:ascii="Times New Roman" w:hAnsi="Times New Roman" w:eastAsia="仿宋_GB2312" w:cs="Times New Roman"/>
                <w:b w:val="0"/>
                <w:bCs w:val="0"/>
                <w:color w:val="000000" w:themeColor="text1"/>
                <w:sz w:val="28"/>
                <w:szCs w:val="28"/>
                <w:lang w:val="en" w:eastAsia="zh-CN"/>
                <w14:textFill>
                  <w14:solidFill>
                    <w14:schemeClr w14:val="tx1"/>
                  </w14:solidFill>
                </w14:textFill>
              </w:rPr>
              <w:t>分层级组织企业主要负责人谈话，促其牢记自身职责、抓好安全生产。</w:t>
            </w:r>
          </w:p>
        </w:tc>
        <w:tc>
          <w:tcPr>
            <w:tcW w:w="158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2022年</w:t>
            </w:r>
          </w:p>
          <w:p>
            <w:pPr>
              <w:keepNext w:val="0"/>
              <w:keepLines w:val="0"/>
              <w:pageBreakBefore w:val="0"/>
              <w:widowControl w:val="0"/>
              <w:kinsoku/>
              <w:wordWrap/>
              <w:overflowPunct w:val="0"/>
              <w:topLinePunct w:val="0"/>
              <w:autoSpaceDE/>
              <w:autoSpaceDN/>
              <w:bidi w:val="0"/>
              <w:adjustRightInd/>
              <w:snapToGrid/>
              <w:spacing w:line="50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6月25日</w:t>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0"/>
                <w:szCs w:val="30"/>
                <w:vertAlign w:val="baseline"/>
                <w:lang w:val="en-US" w:eastAsia="zh-CN"/>
                <w14:textFill>
                  <w14:solidFill>
                    <w14:schemeClr w14:val="tx1"/>
                  </w14:solidFill>
                </w14:textFill>
              </w:rPr>
              <w:t>之前（具体时间见通知文件）</w:t>
            </w:r>
          </w:p>
        </w:tc>
        <w:tc>
          <w:tcPr>
            <w:tcW w:w="2328" w:type="dxa"/>
            <w:gridSpan w:val="2"/>
            <w:vMerge w:val="restart"/>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480" w:lineRule="exact"/>
              <w:ind w:right="0" w:rightChars="0"/>
              <w:jc w:val="both"/>
              <w:textAlignment w:val="auto"/>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t>1.集中谈责任企业提前准备好交流发言材料；</w:t>
            </w:r>
          </w:p>
          <w:p>
            <w:pPr>
              <w:keepNext w:val="0"/>
              <w:keepLines w:val="0"/>
              <w:pageBreakBefore w:val="0"/>
              <w:widowControl w:val="0"/>
              <w:kinsoku/>
              <w:wordWrap/>
              <w:overflowPunct w:val="0"/>
              <w:topLinePunct w:val="0"/>
              <w:autoSpaceDE/>
              <w:autoSpaceDN/>
              <w:bidi w:val="0"/>
              <w:adjustRightInd/>
              <w:snapToGrid/>
              <w:spacing w:line="4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28"/>
                <w:szCs w:val="28"/>
                <w:vertAlign w:val="baseline"/>
                <w:lang w:val="en-US" w:eastAsia="zh-CN"/>
                <w14:textFill>
                  <w14:solidFill>
                    <w14:schemeClr w14:val="tx1"/>
                  </w14:solidFill>
                </w14:textFill>
              </w:rPr>
              <w:t>2.其他企业结合微视频创作、单位安全生产工作专题报告会、媒体访谈、撰写文章等方式自行组织开展。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7</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中环寰慧（吴忠）</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节能热力有限公司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8</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宁夏水投（吴忠）</w:t>
            </w:r>
          </w:p>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水务有限公司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9</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b w:val="0"/>
                <w:bCs w:val="0"/>
                <w:color w:val="000000" w:themeColor="text1"/>
                <w:kern w:val="0"/>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吴忠</w:t>
            </w:r>
            <w:r>
              <w:rPr>
                <w:rFonts w:hint="eastAsia" w:ascii="Times New Roman" w:hAnsi="Times New Roman" w:eastAsia="仿宋_GB2312" w:cs="Times New Roman"/>
                <w:color w:val="000000" w:themeColor="text1"/>
                <w:sz w:val="32"/>
                <w:szCs w:val="32"/>
                <w14:textFill>
                  <w14:solidFill>
                    <w14:schemeClr w14:val="tx1"/>
                  </w14:solidFill>
                </w14:textFill>
              </w:rPr>
              <w:t>市燃气公司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exact"/>
        </w:trPr>
        <w:tc>
          <w:tcPr>
            <w:tcW w:w="988" w:type="dxa"/>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default"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t>10</w:t>
            </w:r>
          </w:p>
        </w:tc>
        <w:tc>
          <w:tcPr>
            <w:tcW w:w="3080" w:type="dxa"/>
            <w:gridSpan w:val="2"/>
            <w:vAlign w:val="center"/>
          </w:tcPr>
          <w:p>
            <w:pPr>
              <w:keepNext w:val="0"/>
              <w:keepLines w:val="0"/>
              <w:pageBreakBefore w:val="0"/>
              <w:widowControl w:val="0"/>
              <w:kinsoku/>
              <w:wordWrap/>
              <w:overflowPunct w:val="0"/>
              <w:topLinePunct w:val="0"/>
              <w:autoSpaceDE/>
              <w:autoSpaceDN/>
              <w:bidi w:val="0"/>
              <w:adjustRightInd/>
              <w:snapToGrid/>
              <w:spacing w:line="460" w:lineRule="exact"/>
              <w:ind w:right="0" w:rightChars="0"/>
              <w:jc w:val="center"/>
              <w:textAlignment w:val="auto"/>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吴忠市汇鑫隆燃气有限责任公司</w:t>
            </w:r>
          </w:p>
        </w:tc>
        <w:tc>
          <w:tcPr>
            <w:tcW w:w="122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4996"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158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c>
          <w:tcPr>
            <w:tcW w:w="2328" w:type="dxa"/>
            <w:gridSpan w:val="2"/>
            <w:vMerge w:val="continue"/>
            <w:vAlign w:val="center"/>
          </w:tcPr>
          <w:p>
            <w:pPr>
              <w:keepNext w:val="0"/>
              <w:keepLines w:val="0"/>
              <w:pageBreakBefore w:val="0"/>
              <w:widowControl w:val="0"/>
              <w:kinsoku/>
              <w:wordWrap/>
              <w:overflowPunct w:val="0"/>
              <w:topLinePunct w:val="0"/>
              <w:autoSpaceDE/>
              <w:autoSpaceDN/>
              <w:bidi w:val="0"/>
              <w:adjustRightInd/>
              <w:snapToGrid/>
              <w:spacing w:line="580" w:lineRule="exact"/>
              <w:ind w:right="0" w:rightChars="0"/>
              <w:jc w:val="center"/>
              <w:textAlignment w:val="auto"/>
              <w:rPr>
                <w:rFonts w:hint="eastAsia" w:ascii="Times New Roman" w:hAnsi="Times New Roman" w:eastAsia="仿宋_GB2312" w:cs="Times New Roman"/>
                <w:b w:val="0"/>
                <w:bCs w:val="0"/>
                <w:color w:val="000000" w:themeColor="text1"/>
                <w:kern w:val="0"/>
                <w:sz w:val="32"/>
                <w:szCs w:val="32"/>
                <w:vertAlign w:val="baseline"/>
                <w:lang w:val="en-US" w:eastAsia="zh-CN"/>
                <w14:textFill>
                  <w14:solidFill>
                    <w14:schemeClr w14:val="tx1"/>
                  </w14:solidFill>
                </w14:textFill>
              </w:rPr>
            </w:pPr>
          </w:p>
        </w:tc>
      </w:tr>
    </w:tbl>
    <w:p>
      <w:pPr>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val="0"/>
        <w:topLinePunct w:val="0"/>
        <w:autoSpaceDE/>
        <w:autoSpaceDN/>
        <w:bidi w:val="0"/>
        <w:adjustRightInd/>
        <w:snapToGrid/>
        <w:spacing w:line="580" w:lineRule="exact"/>
        <w:ind w:right="0" w:rightChars="0"/>
        <w:jc w:val="both"/>
        <w:textAlignment w:val="auto"/>
        <w:rPr>
          <w:rFonts w:hint="eastAsia" w:ascii="黑体" w:hAnsi="黑体" w:eastAsia="黑体" w:cs="黑体"/>
          <w:color w:val="000000" w:themeColor="text1"/>
          <w:sz w:val="44"/>
          <w:szCs w:val="44"/>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附件</w:t>
      </w:r>
      <w:r>
        <w:rPr>
          <w:rFonts w:hint="eastAsia" w:ascii="黑体" w:hAnsi="黑体" w:eastAsia="黑体" w:cs="黑体"/>
          <w:color w:val="000000" w:themeColor="text1"/>
          <w:sz w:val="32"/>
          <w:szCs w:val="32"/>
          <w:lang w:val="en-US" w:eastAsia="zh-CN"/>
          <w14:textFill>
            <w14:solidFill>
              <w14:schemeClr w14:val="tx1"/>
            </w14:solidFill>
          </w14:textFill>
        </w:rPr>
        <w:t>5</w:t>
      </w:r>
    </w:p>
    <w:p>
      <w:pPr>
        <w:keepNext w:val="0"/>
        <w:keepLines w:val="0"/>
        <w:pageBreakBefore w:val="0"/>
        <w:widowControl w:val="0"/>
        <w:kinsoku/>
        <w:wordWrap/>
        <w:overflowPunct w:val="0"/>
        <w:topLinePunct w:val="0"/>
        <w:autoSpaceDE/>
        <w:autoSpaceDN/>
        <w:bidi w:val="0"/>
        <w:adjustRightInd/>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80" w:lineRule="exact"/>
        <w:ind w:left="0" w:leftChars="0" w:right="0" w:rightChars="0" w:firstLine="0" w:firstLineChars="0"/>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2022年</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住房城乡建设系统</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“安全生产月”活动进展情况统计表</w:t>
      </w:r>
    </w:p>
    <w:p>
      <w:pPr>
        <w:keepNext w:val="0"/>
        <w:keepLines w:val="0"/>
        <w:pageBreakBefore w:val="0"/>
        <w:widowControl w:val="0"/>
        <w:kinsoku/>
        <w:wordWrap/>
        <w:overflowPunct w:val="0"/>
        <w:topLinePunct w:val="0"/>
        <w:autoSpaceDE/>
        <w:autoSpaceDN/>
        <w:bidi w:val="0"/>
        <w:adjustRightInd/>
        <w:snapToGrid/>
        <w:spacing w:before="0" w:after="0" w:line="560" w:lineRule="exact"/>
        <w:ind w:left="0" w:leftChars="0" w:right="0" w:rightChars="0" w:firstLine="240" w:firstLineChars="1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before="0" w:after="0" w:line="560" w:lineRule="exact"/>
        <w:ind w:left="0" w:leftChars="0" w:right="0" w:rightChars="0" w:firstLine="240" w:firstLineChars="100"/>
        <w:jc w:val="both"/>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填报单位（盖章）：</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联 </w:t>
      </w:r>
      <w:r>
        <w:rPr>
          <w:rFonts w:hint="default" w:ascii="Times New Roman" w:hAnsi="Times New Roman" w:eastAsia="宋体" w:cs="Times New Roman"/>
          <w:color w:val="000000" w:themeColor="text1"/>
          <w:sz w:val="24"/>
          <w:szCs w:val="24"/>
          <w:lang w:eastAsia="zh-CN"/>
          <w14:textFill>
            <w14:solidFill>
              <w14:schemeClr w14:val="tx1"/>
            </w14:solidFill>
          </w14:textFill>
        </w:rPr>
        <w:t>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电话</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 xml:space="preserve">   填报日期</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p>
    <w:tbl>
      <w:tblPr>
        <w:tblStyle w:val="12"/>
        <w:tblW w:w="14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7"/>
        <w:gridCol w:w="4713"/>
        <w:gridCol w:w="6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647" w:type="dxa"/>
          </w:tcPr>
          <w:p>
            <w:pPr>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活动项目</w:t>
            </w:r>
          </w:p>
        </w:tc>
        <w:tc>
          <w:tcPr>
            <w:tcW w:w="4713" w:type="dxa"/>
          </w:tcPr>
          <w:p>
            <w:pPr>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内容要求</w:t>
            </w:r>
          </w:p>
        </w:tc>
        <w:tc>
          <w:tcPr>
            <w:tcW w:w="6742" w:type="dxa"/>
          </w:tcPr>
          <w:p>
            <w:pPr>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活动进展情况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2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学习贯彻习近平总书记关于安全生产重要论述</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学习贯彻习近平总书记关于安全生产重要论述，集中学习《生命重于泰山》电视专题片，推动贯彻落实安全生产十五条措施、自治区安全生产二十条措施。</w:t>
            </w:r>
          </w:p>
        </w:tc>
        <w:tc>
          <w:tcPr>
            <w:tcW w:w="67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专题研讨、集中宣讲、培训辅导等(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专题学习《生命重于泰山——学习习近平总书记关于安全生产重要论述》电视专题片 □是□否；组织集中学习观看（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开展安全生产“公开课”“大家谈”“班组会”等学习活动(   )场，参与(   )人次。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2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宣传贯彻安全生产法、刑法修正案（十一）关于安全生产有关内容、司法解释</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开展安全生产法、刑法修正案（十一）关于安全生产有关内容、司法解释主题宣传活动，推动“第一责任人”守法履责，加大以案释法和以案普法的宣传力度。</w:t>
            </w:r>
          </w:p>
        </w:tc>
        <w:tc>
          <w:tcPr>
            <w:tcW w:w="67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组织开展全员应急救援演练和知识技能培训(   )场,参与(   )人次；参与“第一责任人安全倡议书”活动(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曝光企业主体责任落实不到位被实行“一案双罚”安全生产行刑衔接、因发生生产安全事故构成重大责任事故罪的典型案例(   )个；</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开展“我是安全吹哨人”，发现问题(   )项；“查找身边的隐患”，查找隐患(   )条；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与企业主要负责人谈话(   )人次。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2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开展“安全生产万里行”活动</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组织开展“安全生产万里行”专题行、区域行、网上行等活动；开展警示教育，组织观看安全生产警示教育片、专题展；报道各地打非治违和排查治理进展成效；鼓励社会公众举报安全生产重大隐患和违法行为，发挥媒体监督作用，集中曝光突出问题，每月至少在当地主流媒体曝光1个典型案例，并向自治区住房和城乡建设厅报送情况。</w:t>
            </w:r>
          </w:p>
        </w:tc>
        <w:tc>
          <w:tcPr>
            <w:tcW w:w="67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组织观看安全生产警示教育片、专题展(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报道各地打非治违和排查治理进展成效(   )条；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社会公众举报安全生产重大隐患和违法行为(   )项；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发挥媒体监督作用，集中曝光突出问题(   )个，市级主流媒体曝光典型案例(   )个，媒体转发报道(   )篇；报送典型案例(   )个；</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开展“专题行”(   )次、“区域行”(   )次、“网上行”(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2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开展“6·16安全宣传咨询日”和安全宣传“五进”活动</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开展群众喜闻乐见、形式多样、线上线下相结合的安全宣传咨询活动；组织开展“安全宣传全屏传播”；推动各级安委会成员单位加强协调联动和资源投入。</w:t>
            </w:r>
          </w:p>
        </w:tc>
        <w:tc>
          <w:tcPr>
            <w:tcW w:w="67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开展“主播讲安全”“专家远程会诊”(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“美好生活从安全开始话题征集”(   )条，参与(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“新安法知多少”“救援技能趣味测试”等活动(   )场，参与(   )人次；制作公益广告、海报、短视频、提示语音等(   )条/份，宣传受众(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开展“进门入户送安全”(   )次，受众(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组织“安全志愿者在行动”(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各类应急演练体验活动(   )场，参与(   )人次；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开展建筑施工标准化观摩活动(   )场次。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2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安全生产大检查</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both"/>
              <w:textAlignment w:val="auto"/>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4"/>
                <w:szCs w:val="24"/>
                <w:vertAlign w:val="baseline"/>
                <w:lang w:val="en-US" w:eastAsia="zh-CN"/>
                <w14:textFill>
                  <w14:solidFill>
                    <w14:schemeClr w14:val="tx1"/>
                  </w14:solidFill>
                </w14:textFill>
              </w:rPr>
              <w:t>开展以危大工程、建筑起重机械、高空作业为重点的专项治理行动。</w:t>
            </w:r>
          </w:p>
        </w:tc>
        <w:tc>
          <w:tcPr>
            <w:tcW w:w="674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default" w:ascii="宋体" w:hAnsi="宋体" w:eastAsia="宋体" w:cs="宋体"/>
                <w:color w:val="000000" w:themeColor="text1"/>
                <w:sz w:val="24"/>
                <w:szCs w:val="24"/>
                <w:vertAlign w:val="baseline"/>
                <w:lang w:val="en-US" w:eastAsia="zh-CN"/>
                <w14:textFill>
                  <w14:solidFill>
                    <w14:schemeClr w14:val="tx1"/>
                  </w14:solidFill>
                </w14:textFill>
              </w:rPr>
              <w:t>派出检查组(</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vertAlign w:val="baseline"/>
                <w:lang w:val="en-US" w:eastAsia="zh-CN"/>
                <w14:textFill>
                  <w14:solidFill>
                    <w14:schemeClr w14:val="tx1"/>
                  </w14:solidFill>
                </w14:textFill>
              </w:rPr>
              <w:t>检查企业(</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)家</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default" w:ascii="宋体" w:hAnsi="宋体" w:eastAsia="宋体" w:cs="宋体"/>
                <w:color w:val="000000" w:themeColor="text1"/>
                <w:sz w:val="24"/>
                <w:szCs w:val="24"/>
                <w:vertAlign w:val="baseline"/>
                <w:lang w:val="en-US" w:eastAsia="zh-CN"/>
                <w14:textFill>
                  <w14:solidFill>
                    <w14:schemeClr w14:val="tx1"/>
                  </w14:solidFill>
                </w14:textFill>
              </w:rPr>
              <w:t>检查项目(</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vertAlign w:val="baseline"/>
                <w:lang w:val="en-US" w:eastAsia="zh-CN"/>
                <w14:textFill>
                  <w14:solidFill>
                    <w14:schemeClr w14:val="tx1"/>
                  </w14:solidFill>
                </w14:textFill>
              </w:rPr>
              <w:t>停工整改(</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vertAlign w:val="baseline"/>
                <w:lang w:val="en-US" w:eastAsia="zh-CN"/>
                <w14:textFill>
                  <w14:solidFill>
                    <w14:schemeClr w14:val="tx1"/>
                  </w14:solidFill>
                </w14:textFill>
              </w:rPr>
              <w:t>隐患整改(</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default" w:ascii="宋体" w:hAnsi="宋体" w:eastAsia="宋体" w:cs="宋体"/>
                <w:color w:val="000000" w:themeColor="text1"/>
                <w:sz w:val="24"/>
                <w:szCs w:val="24"/>
                <w:vertAlign w:val="baseline"/>
                <w:lang w:val="en-US" w:eastAsia="zh-CN"/>
                <w14:textFill>
                  <w14:solidFill>
                    <w14:schemeClr w14:val="tx1"/>
                  </w14:solidFill>
                </w14:textFill>
              </w:rPr>
              <w:t>企业诚信扣分(</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个人诚信记分(</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)人次</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default" w:ascii="宋体" w:hAnsi="宋体" w:eastAsia="宋体" w:cs="宋体"/>
                <w:color w:val="000000" w:themeColor="text1"/>
                <w:sz w:val="24"/>
                <w:szCs w:val="24"/>
                <w:vertAlign w:val="baseline"/>
                <w:lang w:val="en-US" w:eastAsia="zh-CN"/>
                <w14:textFill>
                  <w14:solidFill>
                    <w14:schemeClr w14:val="tx1"/>
                  </w14:solidFill>
                </w14:textFill>
              </w:rPr>
              <w:t>行政处罚企业(</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)个</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vertAlign w:val="baseline"/>
                <w:lang w:val="en-US" w:eastAsia="zh-CN"/>
                <w14:textFill>
                  <w14:solidFill>
                    <w14:schemeClr w14:val="tx1"/>
                  </w14:solidFill>
                </w14:textFill>
              </w:rPr>
              <w:t>罚款(</w:t>
            </w:r>
            <w:r>
              <w:rPr>
                <w:rFonts w:hint="eastAsia" w:ascii="宋体" w:hAnsi="宋体" w:eastAsia="宋体" w:cs="宋体"/>
                <w:color w:val="000000" w:themeColor="text1"/>
                <w:sz w:val="24"/>
                <w:szCs w:val="24"/>
                <w:vertAlign w:val="baseline"/>
                <w:lang w:val="en-US" w:eastAsia="zh-CN"/>
                <w14:textFill>
                  <w14:solidFill>
                    <w14:schemeClr w14:val="tx1"/>
                  </w14:solidFill>
                </w14:textFill>
              </w:rPr>
              <w:t xml:space="preserve">   </w:t>
            </w:r>
            <w:r>
              <w:rPr>
                <w:rFonts w:hint="default" w:ascii="宋体" w:hAnsi="宋体" w:eastAsia="宋体" w:cs="宋体"/>
                <w:color w:val="000000" w:themeColor="text1"/>
                <w:sz w:val="24"/>
                <w:szCs w:val="24"/>
                <w:vertAlign w:val="baseline"/>
                <w:lang w:val="en-US" w:eastAsia="zh-CN"/>
                <w14:textFill>
                  <w14:solidFill>
                    <w14:schemeClr w14:val="tx1"/>
                  </w14:solidFill>
                </w14:textFill>
              </w:rPr>
              <w:t>)万元。</w:t>
            </w:r>
          </w:p>
        </w:tc>
      </w:tr>
    </w:tbl>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sectPr>
          <w:pgSz w:w="16838" w:h="11906" w:orient="landscape"/>
          <w:pgMar w:top="1587" w:right="1814" w:bottom="1587" w:left="1587" w:header="851" w:footer="1417" w:gutter="0"/>
          <w:pgNumType w:fmt="numberInDash"/>
          <w:cols w:space="0" w:num="1"/>
          <w:rtlGutter w:val="0"/>
          <w:docGrid w:type="lines" w:linePitch="579" w:charSpace="0"/>
        </w:sectPr>
      </w:pP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附件6</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“安全生产月”活动宣传标语</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1.遵守安全生产法  当好第一责任人</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2.广泛开展安全月活动  深入贯彻安全生产法</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3人民利益高于一切  安全责任重于泰山</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4.生命至上  安全发展</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5.落实安全责任  推动安全发展</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6.树牢安全发展理念  守住安全生产底线</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7.消除事故隐患  筑牢安全防线</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8.发展决不能以牺牲安全为代价</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9.党政同责  一岗双责  齐抓共管</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10.安全就是生命  责任重于泰山 </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11.居安思危除隐患  预防为主保安全 </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12.安全责任  重在落实</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13.事故是最大的成本  安全是最大的效益</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14.安全生产必须警钟长鸣 常抓不懈</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15.安全来自警惕 事故出于麻痹</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16.想安全事  上安全岗  做安全人</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17.你对违章讲人情  事故对你不留情</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18.宁为安全受累  不为事故流泪</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19.安全生产勿侥幸  违章违规要人命</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20.安全为天  平安是福</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21.安全生产  人人有责</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22.安全你我他  平安靠大家</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23.生命只有一次  安全从我做起</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24.安全生产只有起点没有终点</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25.安全人人抓  幸福千万家</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26.放过一次违章作业  就为事故开一次绿灯</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27.质量是企业的生命  安全是职工的生命</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28.为安全投资是最大的福利</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29.传播安全文化  宣传安全知识</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30.生命无价  事故无情</w:t>
      </w: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sectPr>
          <w:pgSz w:w="11906" w:h="16838"/>
          <w:pgMar w:top="1814" w:right="1587" w:bottom="1587" w:left="1587" w:header="851" w:footer="1417" w:gutter="0"/>
          <w:pgNumType w:fmt="numberInDash"/>
          <w:cols w:space="0" w:num="1"/>
          <w:rtlGutter w:val="0"/>
          <w:docGrid w:type="lines" w:linePitch="579" w:charSpace="0"/>
        </w:sectPr>
      </w:pP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附件7</w:t>
      </w: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“第一责任人”7项职责</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《中华人民共和国安全生产法》第二十一条</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 xml:space="preserve"> 生产经营单位的主要负责人对本单位安全生产工作负有下列职责:</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（一）建立健全并落实本单位全员安全生产责任制，加强安全生产标准化建设；</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（二）组织制定并实施本单位安全生产规章制度和操作规程；</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（三）组织制定并实施本单位安全生产教育和培训计划；</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（四）保证本单位安全生产投入的有效实施；</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（五）组织建立并落实安全风险分级管控和隐患排查治理双重预防工作机制，督促、检查本单位的安全生产工作，及时消除生产安全事故隐患；</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（六）组织制定并实施本单位的生产安全事故应急救援预案；</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sectPr>
          <w:pgSz w:w="11906" w:h="16838"/>
          <w:pgMar w:top="1814" w:right="1587" w:bottom="1587" w:left="1587" w:header="851" w:footer="1417" w:gutter="0"/>
          <w:pgNumType w:fmt="numberInDash"/>
          <w:cols w:space="0" w:num="1"/>
          <w:rtlGutter w:val="0"/>
          <w:docGrid w:type="lines" w:linePitch="579" w:charSpace="0"/>
        </w:sect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（七）及时、如实报告生产安全事故。</w:t>
      </w: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附件8</w:t>
      </w: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pPr>
    </w:p>
    <w:p>
      <w:pPr>
        <w:pStyle w:val="2"/>
        <w:keepNext/>
        <w:keepLines/>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“第一责任人”谈责任提纲</w:t>
      </w:r>
    </w:p>
    <w:p>
      <w:pPr>
        <w:pStyle w:val="4"/>
        <w:ind w:left="0" w:leftChars="0" w:firstLine="0" w:firstLineChars="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1.生产经营单位的主要负责人对本单位安全生产工作职责主要内容有哪些？</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2.日常通过什么方式、哪些措施抓安全生产工作，履行安全生产职责？</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3.你单位是如何落实习近平总书记关于安全生产重要论述？</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国务院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安全生产</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十五条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硬</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措施</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”和自治区安全生产“二十条措施”</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5.你单位容易导致生产安全事故的重大安全风险主要有哪些？如何有效管控？</w:t>
      </w:r>
    </w:p>
    <w:p>
      <w:pPr>
        <w:pStyle w:val="4"/>
        <w:ind w:left="0" w:leftChars="0"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6.对企业安全生产管理体系的理解，如何推进住建领域企业安全生产标准化工作的？</w:t>
      </w:r>
    </w:p>
    <w:p>
      <w:pPr>
        <w:pStyle w:val="4"/>
        <w:ind w:left="0" w:leftChars="0" w:firstLine="640" w:firstLineChars="200"/>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7.你单位当前面临的安全生产最主要问题有哪些？</w:t>
      </w:r>
    </w:p>
    <w:p>
      <w:pPr>
        <w:pStyle w:val="4"/>
        <w:ind w:left="0" w:leftChars="0"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8.如何落实《吴忠市落实建筑领域企业安全生产主体责任制度（试行）》（吴住建规发</w:t>
      </w:r>
      <w:r>
        <w:rPr>
          <w:rFonts w:hint="default" w:ascii="Times New Roman" w:hAnsi="Times New Roman" w:eastAsia="仿宋_GB2312" w:cs="Times New Roman"/>
          <w:b w:val="0"/>
          <w:bCs/>
          <w:color w:val="000000" w:themeColor="text1"/>
          <w:sz w:val="32"/>
          <w:szCs w:val="32"/>
          <w14:textFill>
            <w14:solidFill>
              <w14:schemeClr w14:val="tx1"/>
            </w14:solidFill>
          </w14:textFill>
        </w:rPr>
        <w:t>〔202</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32"/>
          <w:szCs w:val="32"/>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1号</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2"/>
        <w:rPr>
          <w:rFonts w:hint="default"/>
          <w:lang w:val="en-US" w:eastAsia="zh-CN"/>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9.</w:t>
      </w: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汛</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期安全防范，作为企业安全生产“第一责任人”，你做了哪些工作？</w:t>
      </w:r>
    </w:p>
    <w:sectPr>
      <w:pgSz w:w="11906" w:h="16838"/>
      <w:pgMar w:top="1814" w:right="1587" w:bottom="1587" w:left="1587" w:header="851" w:footer="1417" w:gutter="0"/>
      <w:pgNumType w:fmt="numberInDash"/>
      <w:cols w:space="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0382E72-99B4-44AC-928E-8562B7CCA1BA}"/>
  </w:font>
  <w:font w:name="Arial">
    <w:panose1 w:val="020B0604020202020204"/>
    <w:charset w:val="01"/>
    <w:family w:val="swiss"/>
    <w:pitch w:val="default"/>
    <w:sig w:usb0="E0002AFF" w:usb1="C0007843" w:usb2="00000009" w:usb3="00000000" w:csb0="400001FF" w:csb1="FFFF0000"/>
    <w:embedRegular r:id="rId2" w:fontKey="{F7EE9A7B-EE9C-415A-BC20-06149C62B895}"/>
  </w:font>
  <w:font w:name="黑体">
    <w:panose1 w:val="02010609060101010101"/>
    <w:charset w:val="86"/>
    <w:family w:val="auto"/>
    <w:pitch w:val="default"/>
    <w:sig w:usb0="800002BF" w:usb1="38CF7CFA" w:usb2="00000016" w:usb3="00000000" w:csb0="00040001" w:csb1="00000000"/>
    <w:embedRegular r:id="rId3" w:fontKey="{B733B1AF-012A-4D49-B791-5C1BFC6D821B}"/>
  </w:font>
  <w:font w:name="Courier New">
    <w:panose1 w:val="02070309020205020404"/>
    <w:charset w:val="01"/>
    <w:family w:val="modern"/>
    <w:pitch w:val="default"/>
    <w:sig w:usb0="E0002AFF" w:usb1="C0007843" w:usb2="00000009" w:usb3="00000000" w:csb0="400001FF" w:csb1="FFFF0000"/>
    <w:embedRegular r:id="rId4" w:fontKey="{2899BB1C-38A7-4E7C-B918-6A808676E2F5}"/>
  </w:font>
  <w:font w:name="Symbol">
    <w:panose1 w:val="05050102010706020507"/>
    <w:charset w:val="02"/>
    <w:family w:val="roman"/>
    <w:pitch w:val="default"/>
    <w:sig w:usb0="00000000" w:usb1="00000000" w:usb2="00000000" w:usb3="00000000" w:csb0="80000000" w:csb1="00000000"/>
    <w:embedRegular r:id="rId5" w:fontKey="{9FFA8135-33D9-4351-87C0-7E9899D65EBC}"/>
  </w:font>
  <w:font w:name="Calibri">
    <w:panose1 w:val="020F0502020204030204"/>
    <w:charset w:val="00"/>
    <w:family w:val="swiss"/>
    <w:pitch w:val="default"/>
    <w:sig w:usb0="E00002FF" w:usb1="4000ACFF" w:usb2="00000001" w:usb3="00000000" w:csb0="2000019F" w:csb1="00000000"/>
    <w:embedRegular r:id="rId6" w:fontKey="{C934F44F-76E3-41FD-BE5D-7D880A2BC2BF}"/>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embedRegular r:id="rId7" w:fontKey="{8C0DC0E8-FFC9-4CF2-9D41-2A2CA6523B6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8" w:fontKey="{5BDA8BBB-BB4C-423C-8965-69C56B714A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0MzIxOWUzZjE1YzVjMWQ2MDg0ODVhYzNmNThkNjEifQ=="/>
  </w:docVars>
  <w:rsids>
    <w:rsidRoot w:val="00000000"/>
    <w:rsid w:val="03232197"/>
    <w:rsid w:val="03F00F1B"/>
    <w:rsid w:val="04794387"/>
    <w:rsid w:val="04FC275F"/>
    <w:rsid w:val="0620456D"/>
    <w:rsid w:val="06E852C8"/>
    <w:rsid w:val="08E54CDB"/>
    <w:rsid w:val="09262C76"/>
    <w:rsid w:val="0A6E4877"/>
    <w:rsid w:val="0BD00693"/>
    <w:rsid w:val="0E04444B"/>
    <w:rsid w:val="0E5A44BE"/>
    <w:rsid w:val="0E7F4D76"/>
    <w:rsid w:val="0ED31895"/>
    <w:rsid w:val="0EED9C28"/>
    <w:rsid w:val="100A0B01"/>
    <w:rsid w:val="10704892"/>
    <w:rsid w:val="12934FA5"/>
    <w:rsid w:val="129B96EE"/>
    <w:rsid w:val="129D69B3"/>
    <w:rsid w:val="12FC46D3"/>
    <w:rsid w:val="136A0B42"/>
    <w:rsid w:val="13955A73"/>
    <w:rsid w:val="15785D0F"/>
    <w:rsid w:val="16504D0A"/>
    <w:rsid w:val="17112B80"/>
    <w:rsid w:val="186625C0"/>
    <w:rsid w:val="1B591F51"/>
    <w:rsid w:val="1D8E0970"/>
    <w:rsid w:val="1E586DD8"/>
    <w:rsid w:val="1EDF44EC"/>
    <w:rsid w:val="1FFBAFEA"/>
    <w:rsid w:val="20BB47FE"/>
    <w:rsid w:val="21B63B68"/>
    <w:rsid w:val="231F73F7"/>
    <w:rsid w:val="241A62B5"/>
    <w:rsid w:val="24CC5D8B"/>
    <w:rsid w:val="26305D11"/>
    <w:rsid w:val="263D7E22"/>
    <w:rsid w:val="26D64E3E"/>
    <w:rsid w:val="288F4AFE"/>
    <w:rsid w:val="2A8D44A3"/>
    <w:rsid w:val="2B3F3CD9"/>
    <w:rsid w:val="2BE46C10"/>
    <w:rsid w:val="2E526812"/>
    <w:rsid w:val="2E806987"/>
    <w:rsid w:val="2FA501EA"/>
    <w:rsid w:val="3037335C"/>
    <w:rsid w:val="305B51AC"/>
    <w:rsid w:val="320529C8"/>
    <w:rsid w:val="326845CD"/>
    <w:rsid w:val="33157677"/>
    <w:rsid w:val="33C55A30"/>
    <w:rsid w:val="33D17449"/>
    <w:rsid w:val="34B618AD"/>
    <w:rsid w:val="34ED5E25"/>
    <w:rsid w:val="358C6A31"/>
    <w:rsid w:val="36254653"/>
    <w:rsid w:val="36AE7F8E"/>
    <w:rsid w:val="38570A68"/>
    <w:rsid w:val="38B4376F"/>
    <w:rsid w:val="394B0F5B"/>
    <w:rsid w:val="39DD370A"/>
    <w:rsid w:val="3BDB3606"/>
    <w:rsid w:val="3BE62F60"/>
    <w:rsid w:val="3CA43C97"/>
    <w:rsid w:val="3CF5355D"/>
    <w:rsid w:val="3CFF0B9D"/>
    <w:rsid w:val="3D5B3AA6"/>
    <w:rsid w:val="3DB71C75"/>
    <w:rsid w:val="3E8A6D4E"/>
    <w:rsid w:val="3F6A1BB3"/>
    <w:rsid w:val="3FE81569"/>
    <w:rsid w:val="3FF75699"/>
    <w:rsid w:val="40F806BE"/>
    <w:rsid w:val="413E7507"/>
    <w:rsid w:val="417106DE"/>
    <w:rsid w:val="42100D51"/>
    <w:rsid w:val="423B65D8"/>
    <w:rsid w:val="42470737"/>
    <w:rsid w:val="42C51E0E"/>
    <w:rsid w:val="436C79F0"/>
    <w:rsid w:val="4400135B"/>
    <w:rsid w:val="442758B7"/>
    <w:rsid w:val="445E40A7"/>
    <w:rsid w:val="44E016B9"/>
    <w:rsid w:val="450F58F0"/>
    <w:rsid w:val="45B11B62"/>
    <w:rsid w:val="47F230D2"/>
    <w:rsid w:val="497FE99D"/>
    <w:rsid w:val="49945CFC"/>
    <w:rsid w:val="49FDF631"/>
    <w:rsid w:val="4A5B3864"/>
    <w:rsid w:val="4AE92146"/>
    <w:rsid w:val="4B21721C"/>
    <w:rsid w:val="4C990783"/>
    <w:rsid w:val="4D454B90"/>
    <w:rsid w:val="4D671E93"/>
    <w:rsid w:val="4D807045"/>
    <w:rsid w:val="4EBC7D13"/>
    <w:rsid w:val="4EFE1363"/>
    <w:rsid w:val="51BA626C"/>
    <w:rsid w:val="51F46427"/>
    <w:rsid w:val="52E254D4"/>
    <w:rsid w:val="535A308B"/>
    <w:rsid w:val="53B02EA1"/>
    <w:rsid w:val="53FE904E"/>
    <w:rsid w:val="54824BFC"/>
    <w:rsid w:val="54A159E1"/>
    <w:rsid w:val="55025269"/>
    <w:rsid w:val="55F05340"/>
    <w:rsid w:val="570314A4"/>
    <w:rsid w:val="578C04E8"/>
    <w:rsid w:val="583F75FF"/>
    <w:rsid w:val="58B26824"/>
    <w:rsid w:val="58B26930"/>
    <w:rsid w:val="58C46E3D"/>
    <w:rsid w:val="58E02E78"/>
    <w:rsid w:val="58FE46AB"/>
    <w:rsid w:val="59756B71"/>
    <w:rsid w:val="59A45A45"/>
    <w:rsid w:val="5AF6194A"/>
    <w:rsid w:val="5B7A6F61"/>
    <w:rsid w:val="5BD401BF"/>
    <w:rsid w:val="5BD86236"/>
    <w:rsid w:val="5C340F60"/>
    <w:rsid w:val="5C620F36"/>
    <w:rsid w:val="5CDE5EB9"/>
    <w:rsid w:val="5E245582"/>
    <w:rsid w:val="5F1F1E79"/>
    <w:rsid w:val="5FE557EC"/>
    <w:rsid w:val="610A6E15"/>
    <w:rsid w:val="61BD0EEF"/>
    <w:rsid w:val="62AE61E4"/>
    <w:rsid w:val="639C3D2A"/>
    <w:rsid w:val="63C92E4B"/>
    <w:rsid w:val="64671325"/>
    <w:rsid w:val="64B27F2C"/>
    <w:rsid w:val="654A65FB"/>
    <w:rsid w:val="65EF70BD"/>
    <w:rsid w:val="668802F5"/>
    <w:rsid w:val="66A0794D"/>
    <w:rsid w:val="670746C5"/>
    <w:rsid w:val="67222973"/>
    <w:rsid w:val="674F08DA"/>
    <w:rsid w:val="68182006"/>
    <w:rsid w:val="690B1F4C"/>
    <w:rsid w:val="69702050"/>
    <w:rsid w:val="6AF97DB5"/>
    <w:rsid w:val="6C2333EC"/>
    <w:rsid w:val="6D430958"/>
    <w:rsid w:val="6E1375CD"/>
    <w:rsid w:val="6EDB77EF"/>
    <w:rsid w:val="6F9F15F7"/>
    <w:rsid w:val="6FFB9C17"/>
    <w:rsid w:val="701507EA"/>
    <w:rsid w:val="70E07E5B"/>
    <w:rsid w:val="70E512BE"/>
    <w:rsid w:val="712BFFCF"/>
    <w:rsid w:val="71363364"/>
    <w:rsid w:val="72980702"/>
    <w:rsid w:val="72FD2A38"/>
    <w:rsid w:val="73232C2B"/>
    <w:rsid w:val="74630568"/>
    <w:rsid w:val="75287D70"/>
    <w:rsid w:val="753D1383"/>
    <w:rsid w:val="755E95B0"/>
    <w:rsid w:val="756A59B7"/>
    <w:rsid w:val="75C464DA"/>
    <w:rsid w:val="75DF715D"/>
    <w:rsid w:val="767B5F59"/>
    <w:rsid w:val="76975E1F"/>
    <w:rsid w:val="76AF305F"/>
    <w:rsid w:val="77C94F79"/>
    <w:rsid w:val="79077EE7"/>
    <w:rsid w:val="79AC25DA"/>
    <w:rsid w:val="7A0A4232"/>
    <w:rsid w:val="7A0D1F20"/>
    <w:rsid w:val="7AD67E09"/>
    <w:rsid w:val="7AFF757E"/>
    <w:rsid w:val="7B3623FD"/>
    <w:rsid w:val="7BAB6911"/>
    <w:rsid w:val="7BAEB7DC"/>
    <w:rsid w:val="7CBD2508"/>
    <w:rsid w:val="7CFF409E"/>
    <w:rsid w:val="7DDF513E"/>
    <w:rsid w:val="7EC75D27"/>
    <w:rsid w:val="7F3CF669"/>
    <w:rsid w:val="7F7E53A8"/>
    <w:rsid w:val="7FD9549A"/>
    <w:rsid w:val="7FDB19B8"/>
    <w:rsid w:val="7FE72592"/>
    <w:rsid w:val="7FF32A52"/>
    <w:rsid w:val="7FFF661F"/>
    <w:rsid w:val="957DFF16"/>
    <w:rsid w:val="AC950C6D"/>
    <w:rsid w:val="AF7E57CC"/>
    <w:rsid w:val="B6E824F0"/>
    <w:rsid w:val="BF7F6E4E"/>
    <w:rsid w:val="CFEF6A40"/>
    <w:rsid w:val="DDFF1087"/>
    <w:rsid w:val="DF7FBEB1"/>
    <w:rsid w:val="ECB6F7FE"/>
    <w:rsid w:val="EEDBEFB3"/>
    <w:rsid w:val="F32FA0A6"/>
    <w:rsid w:val="F95BBEFC"/>
    <w:rsid w:val="FABA2548"/>
    <w:rsid w:val="FBBD4619"/>
    <w:rsid w:val="FBCA4C4A"/>
    <w:rsid w:val="FF19BD8E"/>
    <w:rsid w:val="FF552EB9"/>
    <w:rsid w:val="FFEBBE2B"/>
    <w:rsid w:val="FFEE3F30"/>
    <w:rsid w:val="FFF57B75"/>
    <w:rsid w:val="FFFDD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4"/>
    <w:basedOn w:val="1"/>
    <w:next w:val="1"/>
    <w:qFormat/>
    <w:uiPriority w:val="0"/>
    <w:pPr>
      <w:keepNext/>
      <w:keepLines/>
      <w:ind w:firstLine="630"/>
      <w:outlineLvl w:val="3"/>
    </w:pPr>
    <w:rPr>
      <w:rFonts w:ascii="Arial" w:hAnsi="Arial"/>
      <w:b/>
      <w:bCs/>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eastAsia="仿宋"/>
      <w:sz w:val="32"/>
    </w:rPr>
  </w:style>
  <w:style w:type="paragraph" w:styleId="5">
    <w:name w:val="Body Text Indent"/>
    <w:basedOn w:val="1"/>
    <w:next w:val="4"/>
    <w:qFormat/>
    <w:uiPriority w:val="0"/>
    <w:pPr>
      <w:ind w:firstLine="643" w:firstLineChars="200"/>
    </w:pPr>
    <w:rPr>
      <w:rFonts w:ascii="黑体" w:hAnsi="仿宋" w:eastAsia="黑体"/>
      <w:b/>
      <w:szCs w:val="32"/>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Title"/>
    <w:basedOn w:val="1"/>
    <w:next w:val="1"/>
    <w:qFormat/>
    <w:uiPriority w:val="10"/>
    <w:pPr>
      <w:jc w:val="center"/>
      <w:outlineLvl w:val="0"/>
    </w:pPr>
    <w:rPr>
      <w:rFonts w:ascii="Cambria" w:hAnsi="Cambria"/>
      <w:b/>
      <w:bCs/>
    </w:rPr>
  </w:style>
  <w:style w:type="paragraph" w:styleId="10">
    <w:name w:val="Body Text First Indent 2"/>
    <w:basedOn w:val="5"/>
    <w:next w:val="1"/>
    <w:qFormat/>
    <w:uiPriority w:val="0"/>
    <w:pPr>
      <w:spacing w:after="120"/>
      <w:ind w:left="200" w:leftChars="200" w:firstLine="420" w:firstLineChars="200"/>
    </w:pPr>
    <w:rPr>
      <w:rFonts w:ascii="Times New Roman" w:cs="Times New Roma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font51"/>
    <w:basedOn w:val="13"/>
    <w:qFormat/>
    <w:uiPriority w:val="0"/>
    <w:rPr>
      <w:rFonts w:hint="eastAsia" w:ascii="宋体" w:hAnsi="宋体" w:eastAsia="宋体" w:cs="宋体"/>
      <w:b/>
      <w:bCs/>
      <w:color w:val="000000"/>
      <w:sz w:val="24"/>
      <w:szCs w:val="24"/>
      <w:u w:val="none"/>
    </w:rPr>
  </w:style>
  <w:style w:type="character" w:customStyle="1" w:styleId="17">
    <w:name w:val="font11"/>
    <w:basedOn w:val="13"/>
    <w:qFormat/>
    <w:uiPriority w:val="0"/>
    <w:rPr>
      <w:rFonts w:hint="eastAsia" w:ascii="宋体" w:hAnsi="宋体" w:eastAsia="宋体" w:cs="宋体"/>
      <w:color w:val="000000"/>
      <w:sz w:val="24"/>
      <w:szCs w:val="24"/>
      <w:u w:val="none"/>
    </w:rPr>
  </w:style>
  <w:style w:type="character" w:customStyle="1" w:styleId="18">
    <w:name w:val="font31"/>
    <w:basedOn w:val="13"/>
    <w:qFormat/>
    <w:uiPriority w:val="0"/>
    <w:rPr>
      <w:rFonts w:hint="eastAsia" w:ascii="宋体" w:hAnsi="宋体" w:eastAsia="宋体" w:cs="宋体"/>
      <w:b/>
      <w:bCs/>
      <w:color w:val="000000"/>
      <w:sz w:val="24"/>
      <w:szCs w:val="24"/>
      <w:u w:val="none"/>
    </w:rPr>
  </w:style>
  <w:style w:type="character" w:customStyle="1" w:styleId="19">
    <w:name w:val="font41"/>
    <w:basedOn w:val="1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4460</Words>
  <Characters>4571</Characters>
  <Lines>0</Lines>
  <Paragraphs>0</Paragraphs>
  <TotalTime>19</TotalTime>
  <ScaleCrop>false</ScaleCrop>
  <LinksUpToDate>false</LinksUpToDate>
  <CharactersWithSpaces>4841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2021-05-26T02:23:00Z</dcterms:created>
  <dc:creator>Administrator</dc:creator>
  <cp:lastModifiedBy>Administrator</cp:lastModifiedBy>
  <cp:lastPrinted>2022-06-02T07:11:19Z</cp:lastPrinted>
  <dcterms:modified xsi:type="dcterms:W3CDTF">2022-06-02T07:27:37Z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45CA690D916A46A788083759E7D70BDB</vt:lpwstr>
  </property>
  <property fmtid="{D5CDD505-2E9C-101B-9397-08002B2CF9AE}" pid="4" name="KSOSaveFontToCloudKey">
    <vt:lpwstr>0_embed</vt:lpwstr>
  </property>
</Properties>
</file>