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吴忠市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消费需求促进年活动实施方案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z w:val="33"/>
          <w:szCs w:val="32"/>
        </w:rPr>
      </w:pPr>
      <w:r>
        <w:rPr>
          <w:rFonts w:hint="default" w:ascii="Times New Roman" w:hAnsi="Times New Roman" w:eastAsia="仿宋_GB2312" w:cs="Times New Roman"/>
          <w:sz w:val="33"/>
          <w:szCs w:val="32"/>
        </w:rPr>
        <w:t>为认真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贯彻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党的二十大精神及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党中央、国务院关于扩大内需、促进消费的决策部署,全面落实</w:t>
      </w:r>
      <w:r>
        <w:rPr>
          <w:rFonts w:hint="eastAsia" w:ascii="Times New Roman" w:hAnsi="Times New Roman" w:eastAsia="仿宋_GB2312" w:cs="Times New Roman"/>
          <w:sz w:val="33"/>
          <w:szCs w:val="32"/>
          <w:lang w:eastAsia="zh-CN"/>
        </w:rPr>
        <w:t>区、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3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3"/>
          <w:szCs w:val="32"/>
        </w:rPr>
        <w:t>于开展“消费需求促进年”活动的安排部署,进一步提振消费信心,释放消费潜力,促进消费加快回补,推动消费提档升级,充分发挥消费对经济增长的基础性作用,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根据《自治区人民政府办公厅&lt;关于印发宁夏回族自治区消费需求促进年活动实施方案&gt;的通知》要求，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现结合我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实际,制定本实施方案。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sz w:val="33"/>
          <w:szCs w:val="32"/>
        </w:rPr>
      </w:pPr>
      <w:r>
        <w:rPr>
          <w:rFonts w:hint="default" w:ascii="Times New Roman" w:hAnsi="Times New Roman" w:eastAsia="黑体" w:cs="Times New Roman"/>
          <w:sz w:val="33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(一)指导思想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z w:val="33"/>
          <w:szCs w:val="32"/>
        </w:rPr>
      </w:pPr>
      <w:r>
        <w:rPr>
          <w:rFonts w:hint="default" w:ascii="Times New Roman" w:hAnsi="Times New Roman" w:eastAsia="仿宋_GB2312" w:cs="Times New Roman"/>
          <w:sz w:val="33"/>
          <w:szCs w:val="32"/>
        </w:rPr>
        <w:t>坚持以习近平新时代中国特色社会主义思想为指导,认真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贯彻党的二十大和习近平总书记视察宁夏重要讲话指示批示精神,按照党中央、国务院《扩大内需战略规划纲要(2022—2035年)》和中央经济工作会议要求,全面落实自治区第十三次党代会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及吴忠市委六届五次全会精神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,完整、准确、全面贯彻新发展理念,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主动服务和融入新发展格局，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以深化供给侧结构性改革为主线,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坚持稳中求进工作总基调，坚持“建设黄河流域高质量发展先行市”的战略定位，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把恢复和扩大消费摆在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首要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位置,聚力打好“消费恢复翻身仗”,建设更高质量的现代流通体系,培育引进更具竞争力的市场主体,供给更加优质的商品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和服务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,营造更为浓厚的消费氛围,持续增强消费对经济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的基础性作用,为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吴忠经济社会高质量发展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(二)主要目标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z w:val="33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3"/>
          <w:szCs w:val="32"/>
        </w:rPr>
        <w:t>2023年,通过开展“消费需求促进年”活动,消费扩容提质取得显著成效,商贸流通体系更趋完善,商品和服务供给提质升级,消费投资引导精准有效,数字商贸和新业态、新模式蓬勃发展,力争实现社会消费品零售总额同比增长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3"/>
          <w:szCs w:val="32"/>
        </w:rPr>
        <w:t>%的目标任务</w:t>
      </w:r>
      <w:r>
        <w:rPr>
          <w:rFonts w:hint="default" w:ascii="Times New Roman" w:hAnsi="Times New Roman" w:eastAsia="仿宋_GB2312" w:cs="Times New Roman"/>
          <w:sz w:val="33"/>
          <w:szCs w:val="32"/>
          <w:lang w:val="en"/>
        </w:rPr>
        <w:t>,</w:t>
      </w:r>
      <w:r>
        <w:rPr>
          <w:rFonts w:hint="default" w:ascii="Times New Roman" w:hAnsi="Times New Roman" w:eastAsia="仿宋_GB2312" w:cs="Times New Roman"/>
          <w:sz w:val="33"/>
          <w:szCs w:val="32"/>
          <w:lang w:val="en" w:eastAsia="zh-CN"/>
        </w:rPr>
        <w:t>其中实物商品网上零售额增长</w:t>
      </w:r>
      <w:r>
        <w:rPr>
          <w:rFonts w:hint="eastAsia" w:ascii="Times New Roman" w:hAnsi="Times New Roman" w:eastAsia="仿宋_GB2312" w:cs="Times New Roman"/>
          <w:sz w:val="33"/>
          <w:szCs w:val="32"/>
          <w:lang w:val="en-US" w:eastAsia="zh-CN"/>
        </w:rPr>
        <w:t>15%</w:t>
      </w:r>
      <w:r>
        <w:rPr>
          <w:rFonts w:hint="default" w:ascii="Times New Roman" w:hAnsi="Times New Roman" w:eastAsia="仿宋_GB2312" w:cs="Times New Roman"/>
          <w:sz w:val="33"/>
          <w:szCs w:val="32"/>
          <w:lang w:val="en" w:eastAsia="zh-CN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sz w:val="33"/>
          <w:szCs w:val="32"/>
        </w:rPr>
      </w:pPr>
      <w:r>
        <w:rPr>
          <w:rFonts w:hint="default" w:ascii="Times New Roman" w:hAnsi="Times New Roman" w:eastAsia="黑体" w:cs="Times New Roman"/>
          <w:sz w:val="33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z w:val="33"/>
          <w:szCs w:val="32"/>
        </w:rPr>
      </w:pPr>
      <w:r>
        <w:rPr>
          <w:rFonts w:hint="default" w:ascii="Times New Roman" w:hAnsi="Times New Roman" w:eastAsia="仿宋_GB2312" w:cs="Times New Roman"/>
          <w:sz w:val="33"/>
          <w:szCs w:val="32"/>
        </w:rPr>
        <w:t>坚持目标导向、问题导向和结果导向，完善措施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，久久为功，实施“9+1”行动计划，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着力加快恢复和扩大消费,顺应消费升级趋势,提升传统消费,培育新兴消费,扩大服务消费,倡导绿色消费,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适当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增加公共消费,不断满足个性化、多样化、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品质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消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费需求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，全力推动全市消费市场加速回暖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(一)实施消费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惠民</w:t>
      </w:r>
      <w:r>
        <w:rPr>
          <w:rFonts w:hint="default" w:ascii="Times New Roman" w:hAnsi="Times New Roman" w:eastAsia="楷体" w:cs="Times New Roman"/>
          <w:b/>
          <w:bCs/>
          <w:color w:val="auto"/>
          <w:sz w:val="33"/>
          <w:szCs w:val="32"/>
        </w:rPr>
        <w:t>提速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坚持“政府搭台、企业唱戏、多方联动、媒体助力、全民乐享”原则,围绕消费旺季关键时点、传统节假日、重点消费领域,举办“2023‘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乐购吴忠·惠享生活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’惠民消费季”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、城市放心购物节、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“房·车博览会”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盐池滩羊节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、“青少年航模锦标赛”、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“夜绽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吴忠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”“直播电商季”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、“喜迎国庆·畅想吴忠”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重点品牌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促销活动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鼓励县(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区)积极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各类促消费活动,持续营造应季消费热潮,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3"/>
          <w:szCs w:val="32"/>
          <w:lang w:val="en-US" w:eastAsia="zh-CN" w:bidi="ar-SA"/>
        </w:rPr>
        <w:t>实现周周有促销、月月有活动、季季有品牌，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3"/>
          <w:szCs w:val="32"/>
        </w:rPr>
        <w:t>形成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贯通全年、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市县联动、政银企携手、线上线下融合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的消费促进新格局。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各大商圈、商贸企业开展节庆主题促销活动，对活动影响力大，效果明显的促销活动，按照实际投入资金额度给予不高于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30%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补贴，最高不超过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20万元。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统筹资金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发放惠民消费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券、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实体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券,引导商贸企业开展满减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满送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积分抽奖、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限时抢购等促销活动。加快推广“线上引流+实体消费”促销模式，对通过自有电商平台、APP开展促销活动且营业额增幅明显的商贸流通企业，按实际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销售额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3"/>
          <w:szCs w:val="32"/>
        </w:rPr>
        <w:t>%、最高不超过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万元的补贴。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市商务和投资促进局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发展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改革</w:t>
      </w:r>
      <w:r>
        <w:rPr>
          <w:rFonts w:hint="default" w:ascii="Times New Roman" w:hAnsi="Times New Roman" w:eastAsia="楷体" w:cs="Times New Roman"/>
          <w:sz w:val="33"/>
          <w:szCs w:val="32"/>
        </w:rPr>
        <w:t>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、农业农村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文化旅游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体育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广电局、城市管理局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)实施消费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市场升级行动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积极打造消费场景,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加快特色街区建设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3"/>
          <w:szCs w:val="32"/>
          <w:lang w:val="en-US" w:eastAsia="zh-CN" w:bidi="ar-SA"/>
        </w:rPr>
        <w:t>激活城市夜间消费“烟火气”，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支持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3"/>
          <w:szCs w:val="32"/>
          <w:lang w:val="en-US" w:eastAsia="zh-CN" w:bidi="ar-SA"/>
        </w:rPr>
        <w:t>光耀美食街、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3"/>
          <w:szCs w:val="32"/>
          <w:lang w:val="en-US" w:eastAsia="zh-CN" w:bidi="ar-SA"/>
        </w:rPr>
        <w:t>牛家坊、鹏盛时代广场美食街等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2"/>
          <w:lang w:val="en-US" w:eastAsia="zh-CN"/>
        </w:rPr>
        <w:t>特色街区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3"/>
          <w:szCs w:val="32"/>
          <w:lang w:val="en-US" w:eastAsia="zh-CN" w:bidi="ar-SA"/>
        </w:rPr>
        <w:t>进一步优化消费环境，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3"/>
          <w:szCs w:val="32"/>
          <w:lang w:val="en-US" w:eastAsia="zh-CN" w:bidi="ar-SA"/>
        </w:rPr>
        <w:t>丰富夜购、夜宴、夜娱、夜游、夜演、夜健等消费供给，</w:t>
      </w:r>
      <w:r>
        <w:rPr>
          <w:rStyle w:val="11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3"/>
          <w:szCs w:val="32"/>
          <w:lang w:val="en-US" w:eastAsia="zh-CN" w:bidi="ar-SA"/>
        </w:rPr>
        <w:t>提升消费品质，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引领和聚集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内外消费。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3"/>
          <w:szCs w:val="32"/>
          <w:lang w:val="en-US" w:eastAsia="zh-CN" w:bidi="ar-SA"/>
        </w:rPr>
        <w:t>鼓励各（县、区）新建特色鲜明、业态多元、靓丽美观的地标性夜间经济生活集聚区。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实施智慧化商圈建设,持续推进一刻钟便民生活圈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提档升级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支持人人乐、海润、大百超市等连锁超市发展社区便利店，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丰富便民消费业态。支持鼓励大中型商贸流通连锁经营企业入乡进村,推动建设以县城为中心、乡镇为重点、行政村为基础的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县域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商业体系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7个县域商业体系建设项目，不断完善城乡消费市场体系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发展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改革委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文化旅游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体育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广电局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城市管理局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3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)实施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市场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主体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培育行动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各类商贸流通骨干企业开展品牌化、连锁化经营,向多行业、多业态拓展,逐步扩大经营规模,对年内首次入规上限企业(单位)给予10万元一次性奖励。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商贸领域招商引资,对新引进的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国内知名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商贸流通(批零住餐)、健康养老、教育文化娱乐、体育休闲等招商引资服务企业,在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内注册成立法人企业并纳入限额以上或规模以上进行统计的给予10万元一次性奖励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对投资者当年完成现代服务业固定资产投资达到3亿元以上的项目（不含房地产和商业综合体），经认定一次性给予固定资产投资额1%奖励，单个项目最高不超过500万元。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支持零售、餐饮企业（单位）通过开展多种形式促消费活动提升销售业绩，对促销效果明显，季度销售额增幅全市前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20名的分别给予2万元奖励。</w:t>
      </w:r>
      <w:r>
        <w:rPr>
          <w:rFonts w:hint="default" w:ascii="Times New Roman" w:hAnsi="Times New Roman" w:eastAsia="楷体" w:cs="Times New Roman"/>
          <w:sz w:val="33"/>
          <w:szCs w:val="32"/>
        </w:rPr>
        <w:t xml:space="preserve">(责任单位: 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市发展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改革</w:t>
      </w:r>
      <w:r>
        <w:rPr>
          <w:rFonts w:hint="default" w:ascii="Times New Roman" w:hAnsi="Times New Roman" w:eastAsia="楷体" w:cs="Times New Roman"/>
          <w:sz w:val="33"/>
          <w:szCs w:val="32"/>
        </w:rPr>
        <w:t>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sz w:val="33"/>
          <w:szCs w:val="32"/>
        </w:rPr>
        <w:t>、商务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卫生健康委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</w:rPr>
        <w:t>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文化旅游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体育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广电局、统计局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(四)实施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商贸物流增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效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3"/>
          <w:szCs w:val="32"/>
          <w:lang w:val="en-US" w:eastAsia="zh-CN" w:bidi="ar-SA"/>
        </w:rPr>
        <w:t>统筹整合利通区红长青配送中心、青铜峡市宝鼎物流园、红寺堡区老周物流、同心邮政物流配送中心等城乡物流冷链设施升级改造，支持推广应用移动冷库、多温层冷藏车、冷藏箱、电动货车等新型设备，优化城市配送线路规划和网点布局，支持骨干物流配送企业建立“城乡共同配送联盟”，引导企业采用统仓共配、集采集配、统一配送、集中配送、即时配送等集约高效配送模式，创新“中央厨房+食材冷链配送”“电子商务+生鲜宅配”等冷链配送新业态。鼓励交邮商深度融合发展，不断完善县乡村三级物流体系建设，打通农产品上行“最后一公里”，增强农产品上行动能，提高整体商贸物流运行效率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交通运输局、农业农村</w:t>
      </w:r>
      <w:r>
        <w:rPr>
          <w:rFonts w:hint="default" w:ascii="Times New Roman" w:hAnsi="Times New Roman" w:eastAsia="楷体" w:cs="Times New Roman"/>
          <w:sz w:val="33"/>
          <w:szCs w:val="32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、邮政管理局，</w:t>
      </w:r>
      <w:r>
        <w:rPr>
          <w:rFonts w:hint="default" w:ascii="Times New Roman" w:hAnsi="Times New Roman" w:eastAsia="楷体" w:cs="Times New Roman"/>
          <w:sz w:val="33"/>
          <w:szCs w:val="32"/>
        </w:rPr>
        <w:t>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(五)实施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品牌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引领行动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聚力打响“游在宁夏，吃在吴忠”、吴忠早茶品牌影响力，精心筹办“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2023中国面食博览会暨第三届吴忠早茶美食文化节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，扩大活动范围、丰富活动内容，拉长活动周期，打造成为拉动消费的新引擎。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大力发展“首店经济”,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吸引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国内知名品牌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在我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设立品牌首店、旗舰店或体验店,丰富高端商品供给,满足消费升级需求,引导外溢消费回流。对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每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引进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家国内外知名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零售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业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或餐饮企业在吴设立宁夏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首店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、吴忠首店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商业街区或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商业综合体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20万元和1</w:t>
      </w:r>
      <w:r>
        <w:rPr>
          <w:rFonts w:hint="default" w:ascii="Times New Roman" w:hAnsi="Times New Roman" w:eastAsia="仿宋_GB2312" w:cs="Times New Roman"/>
          <w:sz w:val="33"/>
          <w:szCs w:val="32"/>
        </w:rPr>
        <w:t>0万元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一次性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奖励。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积极申报“西部美食地标城市”，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“中餐特色美食名录”、早茶旗舰店、早茶标准化示范店评审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活动,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对当年被列入“中餐特色美食名录”的餐饮单位给予一次性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5000元奖励，对评定为“早茶旗舰店”的餐饮单位给予2万元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一次性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奖励。扩大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吴忠产品外销渠道，采取部门授牌、资金补助、考核奖励等方式，充分发挥现有宁夏优质特色产品展示展销中心作用，扩大外销窗口建设，力争2023年外销窗口销售额增速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%以上。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农业农村局、市场监督管理局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(六)实施服务消费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扩面行动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扩大养老托育、医疗健康、文化旅游等服务消费,激发服务消费活力。加快健全医养康养相结合的养老服务体系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，支持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改善优生优育全程服务,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建设高品质的“月子”中心、养老中心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,增加普惠托育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养老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供给,释放生育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、养老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政策潜力。打造康养服务品牌,拓展新兴消费领域,鼓励建设一批休闲康养小镇。推动公共体育场馆向社会免费或低收费开放,统筹资金发放体育消费券,引导市民积极参加体育运动。大力发展健身休闲、竞赛表演、体旅融合等消费业态,支持举办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国际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马拉松、自行车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赛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航模节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等各类体育旅游活动及群众性体育赛事活动,促进体育旅游消费。发挥工会经费作用,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各级工会通过发放“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消费劵”等方式,购买文化、体育、医疗、保健等服务。开展生活服务数字化赋能行动,提升一刻钟便民生活圈数字化水平,支持传统零售企业数字化转型,发展智慧街区、智慧商圈,丰富数字消费场景。加大“线上引流+实体消费”和“商品消费+服务消费”新供给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积极构建“互联网+养老”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“互联网+旅游”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模式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深化电商与快递物流协同发展,推动发展无接触式服务、即时零售、社区团购等,提升末端配送精准服务能力。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发展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</w:rPr>
        <w:t>改革委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color w:val="000000" w:themeColor="text1"/>
          <w:sz w:val="33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</w:rPr>
        <w:t>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文化旅游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体育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广电局、卫生健康委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</w:rPr>
        <w:t>总工会,各县〔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8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(七)实施大宗消费提振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开展“吴忠有礼”汽车家电惠民购、汽车家电下乡惠民行动等促销活动，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汽车、家电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补贴政策,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提振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汽车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、家电等大宗商品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消费,对换购符合国家有关节能、安全、环保标准要求的新电视机、电冰箱、洗衣机、空调、烟机、炉灶等二级及以上能效、智能家电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的消费者给予补贴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。活动期间，领券购买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3000元以上家电的可享200元补贴、5000元以上家电的可享400元补贴、8000元以上家电的可享600元补贴、10000元以上家电的可享800元补贴；活动期间，凡购买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推广车型的燃油乘用车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10万元以下的给予1000元</w:t>
      </w:r>
      <w:r>
        <w:rPr>
          <w:rFonts w:hint="default" w:ascii="Times New Roman" w:hAnsi="Times New Roman" w:eastAsia="仿宋_GB2312" w:cs="Times New Roman"/>
          <w:sz w:val="33"/>
          <w:szCs w:val="32"/>
        </w:rPr>
        <w:t>/辆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补贴，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10万元-20万元的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2"/>
        </w:rPr>
        <w:t>000元/辆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sz w:val="33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20万元以上的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3"/>
          <w:szCs w:val="32"/>
        </w:rPr>
        <w:t>000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sz w:val="33"/>
          <w:szCs w:val="32"/>
        </w:rPr>
        <w:t>/辆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补贴；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购买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新能源乘用车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20万元以下的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元/辆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补贴，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20万元以上的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给予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元/辆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补贴，凡符合上述购新车补贴政策的消费者另行补贴当年车辆交强险。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鼓励行业协会、企业开展汽车、家电下乡巡展活动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，对活动规模达到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20个展位、活动时间超过2天（含2天）的汽车展销活动，每场次给予2万元宣传推广补贴。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工业和信息化局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八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)实施会展消费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带动行动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支持鼓励专业会展企业打造具有地方特色和标志的会展博览品牌。鼓励各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结合产业发展优势,巩固升级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亚麻籽油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发展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高峰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论坛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，适时举办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2023首届“宁货出塞·闽货西行”特色产品展暨产销对接会、第五届中国亚麻籽产业发展论坛暨产销对接会、2023西部电商产业发展论坛暨闽宁商品对接会等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品牌会展项目,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鼓励本地企业（经销商）组团或自行外出开展推介活动，支持优质特色农产品销售，以消费促农民增收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。支持引进国内外知名展会项目和会展企业,对引进(申办) 500人以上的会议(论坛)或面积达1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万平方米以上的展览等活动给予不超过20万元的补助。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市商务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投资促进局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、农业农村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、乡村振兴局,各县〔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3"/>
          <w:rtl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3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九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）实施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文旅消费融合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行动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鼓励文化文物单位及国有文化企业依托各类文化资源、非遗资源，积极研发有鲜明地域特色、文化属性、时代属性的文化创意产品，实现优秀文化资源的创造性转化、创新性发展，丰富优质文化产品和服务供给。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val="en-US" w:eastAsia="zh-CN"/>
        </w:rPr>
        <w:t>支持黄河大峡谷、哈巴湖等吴忠旅游景区对宁夏人免门票，向社会发放旅游消费券或代金券，支持万达、汇金、恒大等影院发放打折观影券。举办2023黄河金岸文化旅游节暨5.19中国旅游日开幕式、吴忠市首届乡村旅游文化节、2023年中国农民丰收节暨滩羊美食节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形式多样的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文旅促销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围绕“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游在宁夏，吃在吴忠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”，持续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开展“吴忠早茶”、特色农庄宣传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推介活动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val="en-US" w:eastAsia="zh-CN"/>
        </w:rPr>
        <w:t>激发文旅消费增量，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推动全域旅游发展。抢抓旅游旺季有利时机，大力开拓客源市场，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“引客入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”奖补政策，促进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  <w:lang w:eastAsia="zh-CN"/>
        </w:rPr>
        <w:t>吴忠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2"/>
        </w:rPr>
        <w:t>文旅消费扩容、提质、增效。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文化旅游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体育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广电局</w:t>
      </w:r>
      <w:r>
        <w:rPr>
          <w:rFonts w:hint="default" w:ascii="Times New Roman" w:hAnsi="Times New Roman" w:eastAsia="楷体" w:cs="Times New Roman"/>
          <w:sz w:val="33"/>
          <w:szCs w:val="32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农业农村局、</w:t>
      </w:r>
      <w:r>
        <w:rPr>
          <w:rFonts w:hint="default" w:ascii="Times New Roman" w:hAnsi="Times New Roman" w:eastAsia="楷体" w:cs="Times New Roman"/>
          <w:sz w:val="33"/>
          <w:szCs w:val="32"/>
        </w:rPr>
        <w:t>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(十)实施住房改善专项行动。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促进居住消费健康发展,加强房地产市场预期引导,支持居民合理自住需求,完善房地产市场调控措施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。认真执行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《吴忠市关于促进房地产业平稳健康发展的若干措施》，落实个人购房契税补贴、放开异地贷款宁夏区域限制、推行发放住房公积金与商业银行组合贷款业务等政策措施，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优化金融服务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进一步减轻居民购房压力，保障刚性住房、支持改善性住房需求，增强我市投资置业的吸引力，带动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家庭装修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和家居市场消费。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住房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</w:rPr>
        <w:t>城乡建设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、财政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</w:rPr>
        <w:t>、发展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和</w:t>
      </w:r>
      <w:r>
        <w:rPr>
          <w:rFonts w:hint="default" w:ascii="Times New Roman" w:hAnsi="Times New Roman" w:eastAsia="楷体" w:cs="Times New Roman"/>
          <w:sz w:val="33"/>
          <w:szCs w:val="32"/>
        </w:rPr>
        <w:t>改革委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员会</w:t>
      </w:r>
      <w:r>
        <w:rPr>
          <w:rFonts w:hint="default" w:ascii="Times New Roman" w:hAnsi="Times New Roman" w:eastAsia="楷体" w:cs="Times New Roman"/>
          <w:sz w:val="33"/>
          <w:szCs w:val="32"/>
        </w:rPr>
        <w:t>、金融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工作</w:t>
      </w:r>
      <w:r>
        <w:rPr>
          <w:rFonts w:hint="default" w:ascii="Times New Roman" w:hAnsi="Times New Roman" w:eastAsia="楷体" w:cs="Times New Roman"/>
          <w:sz w:val="33"/>
          <w:szCs w:val="32"/>
        </w:rPr>
        <w:t>局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3"/>
          <w:szCs w:val="32"/>
        </w:rPr>
        <w:t>税务局、人民银行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吴忠</w:t>
      </w:r>
      <w:r>
        <w:rPr>
          <w:rFonts w:hint="eastAsia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中心支行,各县〔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sz w:val="33"/>
          <w:szCs w:val="32"/>
        </w:rPr>
      </w:pPr>
      <w:r>
        <w:rPr>
          <w:rFonts w:hint="default" w:ascii="Times New Roman" w:hAnsi="Times New Roman" w:eastAsia="黑体" w:cs="Times New Roman"/>
          <w:sz w:val="33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(一)加强领导,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多方联动促消费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市人民政府市长</w:t>
      </w:r>
      <w:r>
        <w:rPr>
          <w:rFonts w:hint="eastAsia" w:ascii="Times New Roman" w:hAnsi="Times New Roman" w:eastAsia="仿宋_GB2312" w:cs="Times New Roman"/>
          <w:sz w:val="33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组长,分管副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市长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为副组长的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吴忠市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消费需求促进工作领导小组,成员由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相关部门和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各县（市、区）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人民政府主要负责同志组成,统筹全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“消费需求促进年”活动实施;领导小组办公室设在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商务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和投资促进局</w:t>
      </w:r>
      <w:r>
        <w:rPr>
          <w:rFonts w:hint="default" w:ascii="Times New Roman" w:hAnsi="Times New Roman" w:eastAsia="仿宋_GB2312" w:cs="Times New Roman"/>
          <w:sz w:val="33"/>
          <w:szCs w:val="32"/>
        </w:rPr>
        <w:t>,商务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和投资促进局</w:t>
      </w:r>
      <w:r>
        <w:rPr>
          <w:rFonts w:hint="default" w:ascii="Times New Roman" w:hAnsi="Times New Roman" w:eastAsia="仿宋_GB2312" w:cs="Times New Roman"/>
          <w:sz w:val="33"/>
          <w:szCs w:val="32"/>
        </w:rPr>
        <w:t>主要负责同志任办公室主任,负责日常工作推进、督查、评估等。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各相关部门要实化细化任务分工,各司其职,密切配合,合力推进。各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要落实主体责任,强化组织领导,细化工作方案(2023年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3"/>
          <w:szCs w:val="32"/>
          <w:lang w:val="en-US" w:eastAsia="zh-CN"/>
        </w:rPr>
        <w:t>15日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前报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消费需求促进工作领导小组办公室备案),落实配套政策和配套资金。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消费需求促进工作领导小组办公室要强化平时考核评估,健全考核指标体系,及时跟踪评估工作推进和完成情况,对工作落实不力、进展缓慢的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3"/>
          <w:szCs w:val="32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进行通报、约谈。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消费需求促进工作领导小组成员单位,各县〔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textAlignment w:val="auto"/>
        <w:rPr>
          <w:rFonts w:hint="default" w:ascii="Times New Roman" w:hAnsi="Times New Roman" w:eastAsia="楷体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(二)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落实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政策,强化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保障促消费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统筹用好用足中央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</w:rPr>
        <w:t>自治区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、吴忠市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相关财政资金,加大对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惠民消费券发放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重点企业培育</w:t>
      </w:r>
      <w:r>
        <w:rPr>
          <w:rFonts w:hint="default" w:ascii="Times New Roman" w:hAnsi="Times New Roman" w:eastAsia="仿宋_GB2312" w:cs="Times New Roman"/>
          <w:sz w:val="33"/>
          <w:szCs w:val="32"/>
        </w:rPr>
        <w:t>、发展夜间经济、提振大宗消费、举办促销活动的支持力度。金融机构要加强对批零住餐等行业融资支持,根据企业特点提供差异化金融服务,对符合续贷条件的按照正常续贷业务办理。全面贯彻落实国家和自治区层面已出台的消费促进、政策奖补、减税降费、用能用地、房屋租金等方面的政策措施,强化政策协同配合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消费需求促进工作领导小组成员单位,各县〔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)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优化环境，提升服务促消费。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县（市、区）和</w:t>
      </w:r>
      <w:r>
        <w:rPr>
          <w:rFonts w:hint="eastAsia" w:ascii="Times New Roman" w:hAnsi="Times New Roman" w:eastAsia="仿宋_GB2312" w:cs="Times New Roman"/>
          <w:sz w:val="33"/>
          <w:szCs w:val="32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有关部门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32"/>
          <w:lang w:val="en-US" w:eastAsia="zh-CN" w:bidi="ar-SA"/>
        </w:rPr>
        <w:t>强化消费者权益保护，健全完善商务信用体系，督促商贸企业履行主体责任，推进内外销产品“同线同标同质”。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深入推进“放心消费在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吴忠</w:t>
      </w:r>
      <w:r>
        <w:rPr>
          <w:rFonts w:hint="default" w:ascii="Times New Roman" w:hAnsi="Times New Roman" w:eastAsia="仿宋_GB2312" w:cs="Times New Roman"/>
          <w:sz w:val="33"/>
          <w:szCs w:val="32"/>
        </w:rPr>
        <w:t>”创建活动，多方位、多层次、高效率处理消费投诉，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大力开展食品安全专项治理，餐饮行业质量提升行动。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3"/>
          <w:szCs w:val="32"/>
          <w:lang w:val="en-US" w:eastAsia="zh-CN" w:bidi="ar-SA"/>
        </w:rPr>
        <w:t>优化审批流程，支持商贸企业开展场外促消费活动，适度增加停车位，开展城市交通柔性执法，努力营造安全放心舒心的消费环境。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市市场监督管理局、城市管理局、交通管理局，</w:t>
      </w:r>
      <w:r>
        <w:rPr>
          <w:rFonts w:hint="default" w:ascii="Times New Roman" w:hAnsi="Times New Roman" w:eastAsia="楷体" w:cs="Times New Roman"/>
          <w:sz w:val="33"/>
          <w:szCs w:val="32"/>
        </w:rPr>
        <w:t>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 w:firstLineChars="200"/>
        <w:textAlignment w:val="auto"/>
        <w:rPr>
          <w:rFonts w:hint="default" w:ascii="Times New Roman" w:hAnsi="Times New Roman" w:eastAsia="仿宋_GB2312" w:cs="Times New Roman"/>
          <w:sz w:val="33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)营造氛围,加大宣传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  <w:lang w:eastAsia="zh-CN"/>
        </w:rPr>
        <w:t>促消费</w:t>
      </w:r>
      <w:r>
        <w:rPr>
          <w:rFonts w:hint="default" w:ascii="Times New Roman" w:hAnsi="Times New Roman" w:eastAsia="楷体" w:cs="Times New Roman"/>
          <w:b/>
          <w:bCs/>
          <w:sz w:val="33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3"/>
          <w:szCs w:val="32"/>
          <w:lang w:eastAsia="zh-CN"/>
        </w:rPr>
        <w:t>县（市、区）和</w:t>
      </w:r>
      <w:r>
        <w:rPr>
          <w:rFonts w:hint="default" w:ascii="Times New Roman" w:hAnsi="Times New Roman" w:eastAsia="仿宋_GB2312" w:cs="Times New Roman"/>
          <w:sz w:val="33"/>
          <w:szCs w:val="32"/>
        </w:rPr>
        <w:t>各有关部门要加强消费需求促进年活动的宣传和引导,综合运用新媒体和主流媒体,通过大众喜闻乐见的形式深入解读扩内需促消费的新举措新要求,进一步营造浓厚社会氛围。及时总结活动成效,充分挖掘各地和不同行业、企业在扩内需促消费方面的成功案例,通过“比、晒、促”等多种方式及时总结推广先进做法和典型经验。</w:t>
      </w:r>
      <w:r>
        <w:rPr>
          <w:rFonts w:hint="default" w:ascii="Times New Roman" w:hAnsi="Times New Roman" w:eastAsia="楷体" w:cs="Times New Roman"/>
          <w:sz w:val="33"/>
          <w:szCs w:val="32"/>
        </w:rPr>
        <w:t>(责任单位: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</w:t>
      </w:r>
      <w:r>
        <w:rPr>
          <w:rFonts w:hint="default" w:ascii="Times New Roman" w:hAnsi="Times New Roman" w:eastAsia="楷体" w:cs="Times New Roman"/>
          <w:sz w:val="33"/>
          <w:szCs w:val="32"/>
        </w:rPr>
        <w:t>消费需求促进工作领导小组成员单位,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市新闻传媒中心，</w:t>
      </w:r>
      <w:r>
        <w:rPr>
          <w:rFonts w:hint="default" w:ascii="Times New Roman" w:hAnsi="Times New Roman" w:eastAsia="楷体" w:cs="Times New Roman"/>
          <w:sz w:val="33"/>
          <w:szCs w:val="32"/>
        </w:rPr>
        <w:t>各县〔</w:t>
      </w:r>
      <w:r>
        <w:rPr>
          <w:rFonts w:hint="default" w:ascii="Times New Roman" w:hAnsi="Times New Roman" w:eastAsia="楷体" w:cs="Times New Roman"/>
          <w:sz w:val="33"/>
          <w:szCs w:val="32"/>
          <w:lang w:eastAsia="zh-CN"/>
        </w:rPr>
        <w:t>市、</w:t>
      </w:r>
      <w:r>
        <w:rPr>
          <w:rFonts w:hint="default" w:ascii="Times New Roman" w:hAnsi="Times New Roman" w:eastAsia="楷体" w:cs="Times New Roman"/>
          <w:sz w:val="33"/>
          <w:szCs w:val="32"/>
        </w:rPr>
        <w:t>区〕人民政府)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WI2OTJkNzgxOTkzOGQ1ZDc0Yzk4MWNiMjI5ZmEifQ=="/>
  </w:docVars>
  <w:rsids>
    <w:rsidRoot w:val="00000000"/>
    <w:rsid w:val="02ED767B"/>
    <w:rsid w:val="059D6A68"/>
    <w:rsid w:val="0922463B"/>
    <w:rsid w:val="0BF04195"/>
    <w:rsid w:val="0FDC1D11"/>
    <w:rsid w:val="0FE39D2B"/>
    <w:rsid w:val="16924078"/>
    <w:rsid w:val="1B19589E"/>
    <w:rsid w:val="1BFECEA8"/>
    <w:rsid w:val="1F555BB7"/>
    <w:rsid w:val="23FDA611"/>
    <w:rsid w:val="25587955"/>
    <w:rsid w:val="282B4E63"/>
    <w:rsid w:val="2BBB52B0"/>
    <w:rsid w:val="2DF73205"/>
    <w:rsid w:val="2ED76286"/>
    <w:rsid w:val="2F4F41A9"/>
    <w:rsid w:val="2FBFA0B8"/>
    <w:rsid w:val="2FF6CBE5"/>
    <w:rsid w:val="2FFBFAA8"/>
    <w:rsid w:val="2FFF966A"/>
    <w:rsid w:val="31EF8B63"/>
    <w:rsid w:val="3679D9B6"/>
    <w:rsid w:val="3797F909"/>
    <w:rsid w:val="38433B03"/>
    <w:rsid w:val="3BDB3507"/>
    <w:rsid w:val="3D47DAFE"/>
    <w:rsid w:val="3DEE3AFC"/>
    <w:rsid w:val="3DEF9E90"/>
    <w:rsid w:val="3DEFE24F"/>
    <w:rsid w:val="3E7F501F"/>
    <w:rsid w:val="3EAB0813"/>
    <w:rsid w:val="3F5FD64F"/>
    <w:rsid w:val="3FE72F28"/>
    <w:rsid w:val="3FFEC51B"/>
    <w:rsid w:val="46955E71"/>
    <w:rsid w:val="499F2A44"/>
    <w:rsid w:val="4A63A1A0"/>
    <w:rsid w:val="4B0709C0"/>
    <w:rsid w:val="4B7813DE"/>
    <w:rsid w:val="4BFBDA20"/>
    <w:rsid w:val="4CFB5B19"/>
    <w:rsid w:val="4E862EA9"/>
    <w:rsid w:val="4F3C9CBE"/>
    <w:rsid w:val="4F7BCC1F"/>
    <w:rsid w:val="4FDC76BF"/>
    <w:rsid w:val="53FD9EC9"/>
    <w:rsid w:val="553FA019"/>
    <w:rsid w:val="57FD6EAC"/>
    <w:rsid w:val="5B574857"/>
    <w:rsid w:val="5CF3D435"/>
    <w:rsid w:val="5DF54295"/>
    <w:rsid w:val="5E6A8A2E"/>
    <w:rsid w:val="5EFD6E36"/>
    <w:rsid w:val="5EFF4063"/>
    <w:rsid w:val="5EFF7F98"/>
    <w:rsid w:val="5FBF5CAE"/>
    <w:rsid w:val="5FEF179B"/>
    <w:rsid w:val="5FEF3081"/>
    <w:rsid w:val="5FF794C2"/>
    <w:rsid w:val="5FF7AACD"/>
    <w:rsid w:val="5FF9F7D6"/>
    <w:rsid w:val="5FFB9664"/>
    <w:rsid w:val="63636986"/>
    <w:rsid w:val="63892462"/>
    <w:rsid w:val="663FC4D6"/>
    <w:rsid w:val="67E75221"/>
    <w:rsid w:val="69DF5EE5"/>
    <w:rsid w:val="6DDBEC05"/>
    <w:rsid w:val="6DDF9DA1"/>
    <w:rsid w:val="6DFD0F13"/>
    <w:rsid w:val="6E2B71BF"/>
    <w:rsid w:val="6E6FE5BD"/>
    <w:rsid w:val="6E7B7E29"/>
    <w:rsid w:val="6FA2B671"/>
    <w:rsid w:val="6FBD0BCB"/>
    <w:rsid w:val="6FE69978"/>
    <w:rsid w:val="6FFF3238"/>
    <w:rsid w:val="71D769AD"/>
    <w:rsid w:val="71EFF2C2"/>
    <w:rsid w:val="723FD344"/>
    <w:rsid w:val="73329311"/>
    <w:rsid w:val="75F48EFD"/>
    <w:rsid w:val="775F555A"/>
    <w:rsid w:val="77BD79F4"/>
    <w:rsid w:val="79703A50"/>
    <w:rsid w:val="79BFBEAC"/>
    <w:rsid w:val="79E3765E"/>
    <w:rsid w:val="79FFC042"/>
    <w:rsid w:val="7A6FC57D"/>
    <w:rsid w:val="7AB23FD7"/>
    <w:rsid w:val="7B4F9862"/>
    <w:rsid w:val="7BFBF5A4"/>
    <w:rsid w:val="7BFD1C80"/>
    <w:rsid w:val="7C7D9718"/>
    <w:rsid w:val="7C901CD6"/>
    <w:rsid w:val="7CEE28B8"/>
    <w:rsid w:val="7D1D3EEF"/>
    <w:rsid w:val="7D7E19FE"/>
    <w:rsid w:val="7DEA4EE9"/>
    <w:rsid w:val="7DFE8A86"/>
    <w:rsid w:val="7EDD1F1A"/>
    <w:rsid w:val="7EEF73A8"/>
    <w:rsid w:val="7EF2BDA3"/>
    <w:rsid w:val="7F5D28E9"/>
    <w:rsid w:val="7F6F7019"/>
    <w:rsid w:val="7F79D643"/>
    <w:rsid w:val="7F7F7CD9"/>
    <w:rsid w:val="7F7FF3AD"/>
    <w:rsid w:val="7F917E1A"/>
    <w:rsid w:val="7F9D8708"/>
    <w:rsid w:val="7F9DF9A1"/>
    <w:rsid w:val="7FBA3BC6"/>
    <w:rsid w:val="7FBE26E1"/>
    <w:rsid w:val="7FD96D75"/>
    <w:rsid w:val="7FDE8C9A"/>
    <w:rsid w:val="7FEBEDE1"/>
    <w:rsid w:val="7FEE72C2"/>
    <w:rsid w:val="7FF7BC96"/>
    <w:rsid w:val="7FFB6410"/>
    <w:rsid w:val="7FFBED90"/>
    <w:rsid w:val="7FFFA02D"/>
    <w:rsid w:val="9BD78876"/>
    <w:rsid w:val="9BEFF44B"/>
    <w:rsid w:val="9DFAADCC"/>
    <w:rsid w:val="9EEB6F33"/>
    <w:rsid w:val="9F7DE4AA"/>
    <w:rsid w:val="9FF43DC0"/>
    <w:rsid w:val="A46D69F9"/>
    <w:rsid w:val="A7FF9A09"/>
    <w:rsid w:val="ACDF2795"/>
    <w:rsid w:val="ACF5DC9A"/>
    <w:rsid w:val="ACFE138C"/>
    <w:rsid w:val="B765D2EB"/>
    <w:rsid w:val="B9CF6144"/>
    <w:rsid w:val="BA396713"/>
    <w:rsid w:val="BB3FC8DB"/>
    <w:rsid w:val="BDDF534E"/>
    <w:rsid w:val="BDF67949"/>
    <w:rsid w:val="BEFBDC2B"/>
    <w:rsid w:val="BEFDACBC"/>
    <w:rsid w:val="BFA69C0F"/>
    <w:rsid w:val="BFAB4C86"/>
    <w:rsid w:val="BFB25153"/>
    <w:rsid w:val="BFBFBD8B"/>
    <w:rsid w:val="BFFDF2C4"/>
    <w:rsid w:val="BFFED7AA"/>
    <w:rsid w:val="BFFF0DBC"/>
    <w:rsid w:val="BFFF309C"/>
    <w:rsid w:val="C3DF5655"/>
    <w:rsid w:val="CD7FA435"/>
    <w:rsid w:val="CDFEB348"/>
    <w:rsid w:val="CFBF3522"/>
    <w:rsid w:val="CFC5E0F5"/>
    <w:rsid w:val="CFF93F6A"/>
    <w:rsid w:val="D3F31174"/>
    <w:rsid w:val="D62FE11B"/>
    <w:rsid w:val="D69DD201"/>
    <w:rsid w:val="D6DF9515"/>
    <w:rsid w:val="D7BF3AAA"/>
    <w:rsid w:val="D7D775BA"/>
    <w:rsid w:val="D7FDBAA1"/>
    <w:rsid w:val="D9FFEAD4"/>
    <w:rsid w:val="DAB77071"/>
    <w:rsid w:val="DB1F3D2C"/>
    <w:rsid w:val="DDD6AB05"/>
    <w:rsid w:val="DDDF084E"/>
    <w:rsid w:val="DECB4147"/>
    <w:rsid w:val="DEFB1C17"/>
    <w:rsid w:val="DF6F4A4A"/>
    <w:rsid w:val="DF9FD81E"/>
    <w:rsid w:val="DFA718A5"/>
    <w:rsid w:val="DFD21914"/>
    <w:rsid w:val="DFEF08A2"/>
    <w:rsid w:val="DFFD94CA"/>
    <w:rsid w:val="DFFFDDB4"/>
    <w:rsid w:val="E6FF5942"/>
    <w:rsid w:val="EDFFAB4D"/>
    <w:rsid w:val="EEF70C25"/>
    <w:rsid w:val="EF7FE6E2"/>
    <w:rsid w:val="EFB79FE2"/>
    <w:rsid w:val="EFEC8624"/>
    <w:rsid w:val="F1D25823"/>
    <w:rsid w:val="F1E3F51D"/>
    <w:rsid w:val="F37F004A"/>
    <w:rsid w:val="F3AFA6C7"/>
    <w:rsid w:val="F4033699"/>
    <w:rsid w:val="F56FAE47"/>
    <w:rsid w:val="F5781F4E"/>
    <w:rsid w:val="F5FF6A52"/>
    <w:rsid w:val="F5FFB26C"/>
    <w:rsid w:val="F74D16A7"/>
    <w:rsid w:val="F77FE7A6"/>
    <w:rsid w:val="F7BB1CD5"/>
    <w:rsid w:val="F7CD3877"/>
    <w:rsid w:val="F7E3713A"/>
    <w:rsid w:val="F7F5BE82"/>
    <w:rsid w:val="F7FB847A"/>
    <w:rsid w:val="F959004F"/>
    <w:rsid w:val="F97E0484"/>
    <w:rsid w:val="F99A5D46"/>
    <w:rsid w:val="F9D71955"/>
    <w:rsid w:val="F9FF3991"/>
    <w:rsid w:val="FA7ED1D8"/>
    <w:rsid w:val="FAF75E3C"/>
    <w:rsid w:val="FBAF1062"/>
    <w:rsid w:val="FBCFA80F"/>
    <w:rsid w:val="FBCFDA52"/>
    <w:rsid w:val="FBDBFAE0"/>
    <w:rsid w:val="FBEA0EA7"/>
    <w:rsid w:val="FBF72776"/>
    <w:rsid w:val="FBFB7B62"/>
    <w:rsid w:val="FBFD1DB3"/>
    <w:rsid w:val="FBFFED76"/>
    <w:rsid w:val="FCB77247"/>
    <w:rsid w:val="FD5E9101"/>
    <w:rsid w:val="FDF9CD98"/>
    <w:rsid w:val="FE3AC9FA"/>
    <w:rsid w:val="FE9F5AD2"/>
    <w:rsid w:val="FEA74E42"/>
    <w:rsid w:val="FEE3050C"/>
    <w:rsid w:val="FEFB51EF"/>
    <w:rsid w:val="FEFD9888"/>
    <w:rsid w:val="FF65DEE5"/>
    <w:rsid w:val="FF6A6F7B"/>
    <w:rsid w:val="FF7E7697"/>
    <w:rsid w:val="FF9212B4"/>
    <w:rsid w:val="FF9B2363"/>
    <w:rsid w:val="FFA9BC46"/>
    <w:rsid w:val="FFBE002F"/>
    <w:rsid w:val="FFD6D06D"/>
    <w:rsid w:val="FFDE2A99"/>
    <w:rsid w:val="FFF64FF8"/>
    <w:rsid w:val="FFFF16A6"/>
    <w:rsid w:val="FFFF2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21"/>
    </w:rPr>
  </w:style>
  <w:style w:type="paragraph" w:styleId="3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楷体_GB2312" w:cs="Times New Roman"/>
      <w:sz w:val="24"/>
      <w:szCs w:val="21"/>
      <w:lang w:val="zh-CN" w:bidi="zh-CN"/>
    </w:rPr>
  </w:style>
  <w:style w:type="paragraph" w:styleId="4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UserStyle_0"/>
    <w:basedOn w:val="10"/>
    <w:link w:val="11"/>
    <w:qFormat/>
    <w:uiPriority w:val="0"/>
    <w:pPr>
      <w:widowControl/>
      <w:spacing w:after="160" w:line="240" w:lineRule="exact"/>
      <w:jc w:val="left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UserStyle_1"/>
    <w:basedOn w:val="1"/>
    <w:qFormat/>
    <w:uiPriority w:val="0"/>
    <w:pPr>
      <w:ind w:left="420"/>
      <w:jc w:val="both"/>
      <w:textAlignment w:val="baseline"/>
    </w:pPr>
    <w:rPr>
      <w:rFonts w:ascii="仿宋_GB2312" w:hAnsi="Calibri" w:eastAsia="仿宋_GB2312"/>
      <w:kern w:val="2"/>
      <w:sz w:val="21"/>
      <w:szCs w:val="21"/>
      <w:lang w:val="en-US" w:eastAsia="zh-CN" w:bidi="ar-SA"/>
    </w:rPr>
  </w:style>
  <w:style w:type="character" w:customStyle="1" w:styleId="11">
    <w:name w:val="NormalCharacter"/>
    <w:link w:val="9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6143</Words>
  <Characters>6288</Characters>
  <Lines>0</Lines>
  <Paragraphs>0</Paragraphs>
  <TotalTime>58</TotalTime>
  <ScaleCrop>false</ScaleCrop>
  <LinksUpToDate>false</LinksUpToDate>
  <CharactersWithSpaces>6307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wzs</cp:lastModifiedBy>
  <cp:lastPrinted>2023-02-01T17:48:00Z</cp:lastPrinted>
  <dcterms:modified xsi:type="dcterms:W3CDTF">2023-02-01T18:34:57Z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6D21B991AAF84B70AC650FFF613566DD</vt:lpwstr>
  </property>
</Properties>
</file>