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after="312" w:afterLines="100"/>
        <w:jc w:val="center"/>
        <w:rPr>
          <w:rFonts w:hint="eastAsia" w:ascii="方正小标宋_GBK" w:hAnsi="方正小标宋_GBK" w:eastAsia="方正小标宋_GBK"/>
          <w:color w:val="auto"/>
          <w:sz w:val="52"/>
          <w:lang w:eastAsia="zh-CN"/>
        </w:rPr>
      </w:pPr>
    </w:p>
    <w:p>
      <w:pPr>
        <w:tabs>
          <w:tab w:val="left" w:pos="0"/>
        </w:tabs>
        <w:spacing w:after="312" w:afterLines="100"/>
        <w:jc w:val="center"/>
        <w:rPr>
          <w:rFonts w:hint="eastAsia" w:ascii="方正小标宋_GBK" w:hAnsi="方正小标宋_GBK" w:eastAsia="方正小标宋_GBK"/>
          <w:color w:val="auto"/>
          <w:sz w:val="52"/>
          <w:lang w:eastAsia="zh-CN"/>
        </w:rPr>
      </w:pPr>
    </w:p>
    <w:p>
      <w:pPr>
        <w:tabs>
          <w:tab w:val="left" w:pos="0"/>
        </w:tabs>
        <w:spacing w:after="312" w:afterLines="100"/>
        <w:jc w:val="center"/>
        <w:rPr>
          <w:rFonts w:hint="default" w:ascii="方正小标宋_GBK" w:hAnsi="方正小标宋_GBK" w:eastAsia="方正小标宋_GBK"/>
          <w:color w:val="auto"/>
          <w:sz w:val="52"/>
          <w:lang w:val="en-US" w:eastAsia="zh-CN"/>
        </w:rPr>
      </w:pPr>
      <w:r>
        <w:rPr>
          <w:rFonts w:hint="eastAsia" w:ascii="方正小标宋_GBK" w:hAnsi="方正小标宋_GBK" w:eastAsia="方正小标宋_GBK"/>
          <w:color w:val="auto"/>
          <w:sz w:val="52"/>
          <w:lang w:eastAsia="zh-CN"/>
        </w:rPr>
        <w:t>吴忠市</w:t>
      </w:r>
      <w:r>
        <w:rPr>
          <w:rFonts w:hint="eastAsia" w:ascii="方正小标宋_GBK" w:hAnsi="方正小标宋_GBK" w:eastAsia="方正小标宋_GBK"/>
          <w:color w:val="auto"/>
          <w:sz w:val="52"/>
          <w:lang w:val="en-US" w:eastAsia="zh-CN"/>
        </w:rPr>
        <w:t>人民政府</w:t>
      </w:r>
    </w:p>
    <w:p>
      <w:pPr>
        <w:tabs>
          <w:tab w:val="left" w:pos="0"/>
        </w:tabs>
        <w:spacing w:after="312" w:afterLines="100"/>
        <w:jc w:val="center"/>
        <w:rPr>
          <w:rFonts w:hint="eastAsia" w:ascii="方正小标宋_GBK" w:hAnsi="方正小标宋_GBK" w:eastAsia="方正小标宋_GBK" w:cs="Times New Roman"/>
          <w:color w:val="auto"/>
          <w:sz w:val="48"/>
          <w:szCs w:val="48"/>
        </w:rPr>
      </w:pPr>
      <w:r>
        <w:rPr>
          <w:rFonts w:hint="eastAsia" w:ascii="方正小标宋_GBK" w:hAnsi="方正小标宋_GBK" w:eastAsia="方正小标宋_GBK" w:cs="Times New Roman"/>
          <w:color w:val="auto"/>
          <w:sz w:val="48"/>
          <w:szCs w:val="48"/>
          <w:lang w:eastAsia="zh-CN"/>
        </w:rPr>
        <w:t>大面积停电</w:t>
      </w:r>
      <w:r>
        <w:rPr>
          <w:rFonts w:hint="eastAsia" w:ascii="方正小标宋_GBK" w:hAnsi="方正小标宋_GBK" w:eastAsia="方正小标宋_GBK" w:cs="Times New Roman"/>
          <w:color w:val="auto"/>
          <w:sz w:val="48"/>
          <w:szCs w:val="48"/>
        </w:rPr>
        <w:t>事件应急预案</w:t>
      </w:r>
    </w:p>
    <w:p>
      <w:pPr>
        <w:spacing w:line="580" w:lineRule="exact"/>
        <w:jc w:val="center"/>
        <w:rPr>
          <w:rFonts w:ascii="宋体" w:hAnsi="宋体" w:eastAsia="仿宋_GB2312"/>
          <w:b/>
          <w:color w:val="auto"/>
          <w:sz w:val="52"/>
        </w:rPr>
      </w:pPr>
    </w:p>
    <w:p>
      <w:pPr>
        <w:spacing w:line="580" w:lineRule="exact"/>
        <w:jc w:val="center"/>
        <w:rPr>
          <w:rFonts w:ascii="宋体" w:hAnsi="宋体" w:eastAsia="仿宋_GB2312"/>
          <w:b/>
          <w:color w:val="auto"/>
          <w:sz w:val="52"/>
        </w:rPr>
      </w:pPr>
    </w:p>
    <w:p>
      <w:pPr>
        <w:spacing w:line="580" w:lineRule="exact"/>
        <w:jc w:val="center"/>
        <w:rPr>
          <w:rFonts w:ascii="宋体" w:hAnsi="宋体" w:eastAsia="仿宋_GB2312"/>
          <w:b/>
          <w:color w:val="auto"/>
          <w:sz w:val="52"/>
        </w:rPr>
      </w:pPr>
    </w:p>
    <w:p>
      <w:pPr>
        <w:spacing w:line="580" w:lineRule="exact"/>
        <w:jc w:val="center"/>
        <w:rPr>
          <w:rFonts w:hint="eastAsia" w:ascii="宋体" w:hAnsi="宋体" w:eastAsia="仿宋_GB2312"/>
          <w:b/>
          <w:color w:val="auto"/>
          <w:sz w:val="52"/>
        </w:rPr>
      </w:pPr>
    </w:p>
    <w:p>
      <w:pPr>
        <w:spacing w:line="580" w:lineRule="exact"/>
        <w:jc w:val="center"/>
        <w:rPr>
          <w:rFonts w:hint="eastAsia" w:ascii="宋体" w:hAnsi="宋体" w:eastAsia="仿宋_GB2312"/>
          <w:b/>
          <w:color w:val="auto"/>
          <w:sz w:val="52"/>
        </w:rPr>
      </w:pPr>
    </w:p>
    <w:p>
      <w:pPr>
        <w:spacing w:line="580" w:lineRule="exact"/>
        <w:jc w:val="center"/>
        <w:rPr>
          <w:rFonts w:hint="eastAsia" w:ascii="宋体" w:hAnsi="宋体" w:eastAsia="仿宋_GB2312"/>
          <w:b/>
          <w:color w:val="auto"/>
          <w:sz w:val="52"/>
        </w:rPr>
      </w:pPr>
    </w:p>
    <w:p>
      <w:pPr>
        <w:spacing w:after="312" w:afterLines="100" w:line="580" w:lineRule="exact"/>
        <w:jc w:val="center"/>
        <w:rPr>
          <w:rFonts w:hint="eastAsia" w:ascii="黑体" w:hAnsi="黑体" w:eastAsia="黑体"/>
          <w:color w:val="auto"/>
          <w:sz w:val="32"/>
        </w:rPr>
      </w:pPr>
    </w:p>
    <w:p>
      <w:pPr>
        <w:spacing w:after="312" w:afterLines="100" w:line="580" w:lineRule="exact"/>
        <w:jc w:val="center"/>
        <w:rPr>
          <w:rFonts w:hint="eastAsia" w:ascii="黑体" w:hAnsi="黑体" w:eastAsia="黑体"/>
          <w:color w:val="auto"/>
          <w:sz w:val="32"/>
        </w:rPr>
      </w:pPr>
    </w:p>
    <w:p>
      <w:pPr>
        <w:spacing w:after="312" w:afterLines="100" w:line="580" w:lineRule="exact"/>
        <w:jc w:val="center"/>
        <w:rPr>
          <w:rFonts w:hint="eastAsia" w:ascii="黑体" w:hAnsi="黑体" w:eastAsia="黑体"/>
          <w:color w:val="auto"/>
          <w:sz w:val="32"/>
        </w:rPr>
      </w:pPr>
    </w:p>
    <w:p>
      <w:pPr>
        <w:spacing w:after="312" w:afterLines="100" w:line="580" w:lineRule="exact"/>
        <w:jc w:val="center"/>
        <w:rPr>
          <w:rFonts w:hint="eastAsia" w:ascii="黑体" w:hAnsi="黑体" w:eastAsia="黑体"/>
          <w:color w:val="auto"/>
          <w:sz w:val="32"/>
        </w:rPr>
        <w:sectPr>
          <w:pgSz w:w="11900" w:h="16840"/>
          <w:pgMar w:top="1520" w:right="1680" w:bottom="1640" w:left="1680" w:header="0" w:footer="1444" w:gutter="0"/>
          <w:cols w:space="720" w:num="1"/>
        </w:sectPr>
      </w:pPr>
      <w:r>
        <w:rPr>
          <w:rFonts w:hint="eastAsia" w:ascii="黑体" w:hAnsi="黑体" w:eastAsia="黑体"/>
          <w:color w:val="auto"/>
          <w:sz w:val="32"/>
        </w:rPr>
        <w:t>20</w:t>
      </w:r>
      <w:r>
        <w:rPr>
          <w:rFonts w:hint="eastAsia" w:ascii="黑体" w:hAnsi="黑体" w:eastAsia="黑体"/>
          <w:color w:val="auto"/>
          <w:sz w:val="32"/>
          <w:lang w:val="en-US" w:eastAsia="zh-CN"/>
        </w:rPr>
        <w:t>22</w:t>
      </w:r>
      <w:r>
        <w:rPr>
          <w:rFonts w:hint="eastAsia" w:ascii="黑体" w:hAnsi="黑体" w:eastAsia="黑体"/>
          <w:color w:val="auto"/>
          <w:sz w:val="32"/>
        </w:rPr>
        <w:t>年</w:t>
      </w:r>
      <w:r>
        <w:rPr>
          <w:rFonts w:hint="eastAsia" w:ascii="黑体" w:hAnsi="黑体" w:eastAsia="黑体"/>
          <w:color w:val="auto"/>
          <w:sz w:val="32"/>
          <w:lang w:val="en-US" w:eastAsia="zh-CN"/>
        </w:rPr>
        <w:t>9</w:t>
      </w:r>
      <w:r>
        <w:rPr>
          <w:rFonts w:hint="eastAsia" w:ascii="黑体" w:hAnsi="黑体" w:eastAsia="黑体"/>
          <w:color w:val="auto"/>
          <w:sz w:val="32"/>
        </w:rPr>
        <w:t>月</w:t>
      </w:r>
    </w:p>
    <w:p>
      <w:pPr>
        <w:spacing w:after="312" w:afterLines="100" w:line="580" w:lineRule="exact"/>
        <w:jc w:val="center"/>
        <w:rPr>
          <w:rFonts w:hint="eastAsia" w:ascii="黑体" w:hAnsi="黑体" w:eastAsia="黑体"/>
          <w:color w:val="auto"/>
          <w:sz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Style w:val="12"/>
          <w:rFonts w:hint="eastAsia" w:ascii="方正小标宋简体" w:hAnsi="方正小标宋简体" w:eastAsia="方正小标宋简体" w:cs="方正小标宋简体"/>
          <w:i w:val="0"/>
          <w:caps w:val="0"/>
          <w:color w:val="333333"/>
          <w:spacing w:val="0"/>
          <w:sz w:val="32"/>
          <w:szCs w:val="32"/>
          <w:shd w:val="clear" w:fill="FFFFFF"/>
          <w:lang w:eastAsia="zh-CN"/>
        </w:rPr>
        <w:sectPr>
          <w:pgSz w:w="11900" w:h="16840"/>
          <w:pgMar w:top="1520" w:right="1680" w:bottom="1640" w:left="1680" w:header="0" w:footer="1444" w:gutter="0"/>
          <w:cols w:space="720" w:num="1"/>
        </w:sectPr>
      </w:pPr>
    </w:p>
    <w:p>
      <w:pPr>
        <w:tabs>
          <w:tab w:val="left" w:pos="4540"/>
        </w:tabs>
        <w:spacing w:before="0" w:after="0" w:line="240" w:lineRule="auto"/>
        <w:ind w:left="3587" w:right="3564"/>
        <w:jc w:val="center"/>
        <w:rPr>
          <w:rFonts w:ascii="Microsoft JhengHei" w:hAnsi="Microsoft JhengHei" w:eastAsia="Microsoft JhengHei" w:cs="Microsoft JhengHei"/>
          <w:sz w:val="32"/>
          <w:szCs w:val="32"/>
        </w:rPr>
      </w:pPr>
      <w:r>
        <w:rPr>
          <w:rFonts w:ascii="Microsoft JhengHei" w:hAnsi="Microsoft JhengHei" w:eastAsia="Microsoft JhengHei" w:cs="Microsoft JhengHei"/>
          <w:spacing w:val="0"/>
          <w:w w:val="100"/>
          <w:sz w:val="32"/>
          <w:szCs w:val="32"/>
        </w:rPr>
        <w:t>目</w:t>
      </w:r>
      <w:r>
        <w:rPr>
          <w:rFonts w:hint="eastAsia" w:ascii="Microsoft JhengHei" w:hAnsi="Microsoft JhengHei" w:eastAsia="宋体" w:cs="Microsoft JhengHei"/>
          <w:spacing w:val="0"/>
          <w:w w:val="100"/>
          <w:sz w:val="32"/>
          <w:szCs w:val="32"/>
          <w:lang w:val="en-US" w:eastAsia="zh-CN"/>
        </w:rPr>
        <w:t xml:space="preserve">  </w:t>
      </w:r>
      <w:r>
        <w:rPr>
          <w:rFonts w:ascii="Microsoft JhengHei" w:hAnsi="Microsoft JhengHei" w:eastAsia="Microsoft JhengHei" w:cs="Microsoft JhengHei"/>
          <w:spacing w:val="0"/>
          <w:w w:val="99"/>
          <w:sz w:val="32"/>
          <w:szCs w:val="32"/>
        </w:rPr>
        <w:t>录</w:t>
      </w:r>
    </w:p>
    <w:p>
      <w:pPr>
        <w:spacing w:before="0" w:after="0" w:line="200" w:lineRule="exact"/>
        <w:jc w:val="left"/>
        <w:rPr>
          <w:sz w:val="20"/>
          <w:szCs w:val="20"/>
        </w:rPr>
      </w:pPr>
    </w:p>
    <w:p>
      <w:pPr>
        <w:pStyle w:val="5"/>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"1-3"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_Toc12926 </w:instrText>
      </w:r>
      <w:r>
        <w:rPr>
          <w:rFonts w:hint="eastAsia" w:ascii="仿宋" w:hAnsi="仿宋" w:eastAsia="仿宋" w:cs="仿宋"/>
          <w:sz w:val="28"/>
          <w:szCs w:val="28"/>
        </w:rPr>
        <w:fldChar w:fldCharType="separate"/>
      </w:r>
      <w:r>
        <w:rPr>
          <w:rFonts w:hint="eastAsia" w:ascii="黑体" w:hAnsi="黑体" w:cs="Times New Roman"/>
          <w:sz w:val="28"/>
          <w:szCs w:val="28"/>
          <w:lang w:val="zh-CN"/>
        </w:rPr>
        <w:t>1总则</w:t>
      </w:r>
      <w:r>
        <w:rPr>
          <w:sz w:val="28"/>
          <w:szCs w:val="28"/>
        </w:rPr>
        <w:tab/>
      </w:r>
      <w:r>
        <w:rPr>
          <w:sz w:val="28"/>
          <w:szCs w:val="28"/>
        </w:rPr>
        <w:fldChar w:fldCharType="begin"/>
      </w:r>
      <w:r>
        <w:rPr>
          <w:sz w:val="28"/>
          <w:szCs w:val="28"/>
        </w:rPr>
        <w:instrText xml:space="preserve"> PAGEREF _Toc12926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_Toc26007 </w:instrText>
      </w:r>
      <w:r>
        <w:rPr>
          <w:rFonts w:hint="eastAsia" w:ascii="仿宋" w:hAnsi="仿宋" w:eastAsia="仿宋" w:cs="仿宋"/>
          <w:sz w:val="28"/>
          <w:szCs w:val="28"/>
        </w:rPr>
        <w:fldChar w:fldCharType="separate"/>
      </w:r>
      <w:r>
        <w:rPr>
          <w:rFonts w:hint="eastAsia" w:ascii="仿宋_GB2312" w:hAnsi="Times New Roman" w:eastAsia="仿宋_GB2312" w:cs="Times New Roman"/>
          <w:kern w:val="44"/>
          <w:sz w:val="28"/>
          <w:szCs w:val="28"/>
          <w:lang w:val="zh-CN"/>
        </w:rPr>
        <w:t>1.1编制目的</w:t>
      </w:r>
      <w:r>
        <w:rPr>
          <w:sz w:val="28"/>
          <w:szCs w:val="28"/>
        </w:rPr>
        <w:tab/>
      </w:r>
      <w:r>
        <w:rPr>
          <w:sz w:val="28"/>
          <w:szCs w:val="28"/>
        </w:rPr>
        <w:fldChar w:fldCharType="begin"/>
      </w:r>
      <w:r>
        <w:rPr>
          <w:sz w:val="28"/>
          <w:szCs w:val="28"/>
        </w:rPr>
        <w:instrText xml:space="preserve"> PAGEREF _Toc26007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_Toc2640 </w:instrText>
      </w:r>
      <w:r>
        <w:rPr>
          <w:rFonts w:hint="eastAsia" w:ascii="仿宋" w:hAnsi="仿宋" w:eastAsia="仿宋" w:cs="仿宋"/>
          <w:sz w:val="28"/>
          <w:szCs w:val="28"/>
        </w:rPr>
        <w:fldChar w:fldCharType="separate"/>
      </w:r>
      <w:r>
        <w:rPr>
          <w:rFonts w:hint="eastAsia" w:ascii="仿宋_GB2312" w:hAnsi="Times New Roman" w:eastAsia="仿宋_GB2312" w:cs="Times New Roman"/>
          <w:kern w:val="44"/>
          <w:sz w:val="28"/>
          <w:szCs w:val="28"/>
          <w:lang w:val="zh-CN"/>
        </w:rPr>
        <w:t>1.2编制依据</w:t>
      </w:r>
      <w:r>
        <w:rPr>
          <w:sz w:val="28"/>
          <w:szCs w:val="28"/>
        </w:rPr>
        <w:tab/>
      </w:r>
      <w:r>
        <w:rPr>
          <w:sz w:val="28"/>
          <w:szCs w:val="28"/>
        </w:rPr>
        <w:fldChar w:fldCharType="begin"/>
      </w:r>
      <w:r>
        <w:rPr>
          <w:sz w:val="28"/>
          <w:szCs w:val="28"/>
        </w:rPr>
        <w:instrText xml:space="preserve"> PAGEREF _Toc2640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_Toc32583 </w:instrText>
      </w:r>
      <w:r>
        <w:rPr>
          <w:rFonts w:hint="eastAsia" w:ascii="仿宋" w:hAnsi="仿宋" w:eastAsia="仿宋" w:cs="仿宋"/>
          <w:sz w:val="28"/>
          <w:szCs w:val="28"/>
        </w:rPr>
        <w:fldChar w:fldCharType="separate"/>
      </w:r>
      <w:r>
        <w:rPr>
          <w:rFonts w:hint="eastAsia" w:ascii="仿宋_GB2312" w:hAnsi="Times New Roman" w:eastAsia="仿宋_GB2312" w:cs="Times New Roman"/>
          <w:kern w:val="44"/>
          <w:sz w:val="28"/>
          <w:szCs w:val="28"/>
          <w:lang w:val="zh-CN"/>
        </w:rPr>
        <w:t>1.3适用范围</w:t>
      </w:r>
      <w:r>
        <w:rPr>
          <w:sz w:val="28"/>
          <w:szCs w:val="28"/>
        </w:rPr>
        <w:tab/>
      </w:r>
      <w:r>
        <w:rPr>
          <w:sz w:val="28"/>
          <w:szCs w:val="28"/>
        </w:rPr>
        <w:fldChar w:fldCharType="begin"/>
      </w:r>
      <w:r>
        <w:rPr>
          <w:sz w:val="28"/>
          <w:szCs w:val="28"/>
        </w:rPr>
        <w:instrText xml:space="preserve"> PAGEREF _Toc32583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_Toc24436 </w:instrText>
      </w:r>
      <w:r>
        <w:rPr>
          <w:rFonts w:hint="eastAsia" w:ascii="仿宋" w:hAnsi="仿宋" w:eastAsia="仿宋" w:cs="仿宋"/>
          <w:sz w:val="28"/>
          <w:szCs w:val="28"/>
        </w:rPr>
        <w:fldChar w:fldCharType="separate"/>
      </w:r>
      <w:r>
        <w:rPr>
          <w:rFonts w:hint="eastAsia" w:ascii="仿宋_GB2312" w:hAnsi="Times New Roman" w:eastAsia="仿宋_GB2312" w:cs="Times New Roman"/>
          <w:kern w:val="44"/>
          <w:sz w:val="28"/>
          <w:szCs w:val="28"/>
          <w:lang w:val="zh-CN"/>
        </w:rPr>
        <w:t>1.4工作原则</w:t>
      </w:r>
      <w:r>
        <w:rPr>
          <w:sz w:val="28"/>
          <w:szCs w:val="28"/>
        </w:rPr>
        <w:tab/>
      </w:r>
      <w:r>
        <w:rPr>
          <w:sz w:val="28"/>
          <w:szCs w:val="28"/>
        </w:rPr>
        <w:fldChar w:fldCharType="begin"/>
      </w:r>
      <w:r>
        <w:rPr>
          <w:sz w:val="28"/>
          <w:szCs w:val="28"/>
        </w:rPr>
        <w:instrText xml:space="preserve"> PAGEREF _Toc24436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_Toc2150 </w:instrText>
      </w:r>
      <w:r>
        <w:rPr>
          <w:rFonts w:hint="eastAsia" w:ascii="仿宋" w:hAnsi="仿宋" w:eastAsia="仿宋" w:cs="仿宋"/>
          <w:sz w:val="28"/>
          <w:szCs w:val="28"/>
        </w:rPr>
        <w:fldChar w:fldCharType="separate"/>
      </w:r>
      <w:r>
        <w:rPr>
          <w:rFonts w:hint="eastAsia" w:ascii="仿宋_GB2312" w:hAnsi="Times New Roman" w:eastAsia="仿宋_GB2312" w:cs="Times New Roman"/>
          <w:kern w:val="44"/>
          <w:sz w:val="28"/>
          <w:szCs w:val="28"/>
          <w:lang w:val="zh-CN"/>
        </w:rPr>
        <w:t>1.5事件分级</w:t>
      </w:r>
      <w:r>
        <w:rPr>
          <w:sz w:val="28"/>
          <w:szCs w:val="28"/>
        </w:rPr>
        <w:tab/>
      </w:r>
      <w:r>
        <w:rPr>
          <w:sz w:val="28"/>
          <w:szCs w:val="28"/>
        </w:rPr>
        <w:fldChar w:fldCharType="begin"/>
      </w:r>
      <w:r>
        <w:rPr>
          <w:sz w:val="28"/>
          <w:szCs w:val="28"/>
        </w:rPr>
        <w:instrText xml:space="preserve"> PAGEREF _Toc2150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sz w:val="28"/>
          <w:szCs w:val="28"/>
        </w:rPr>
        <w:fldChar w:fldCharType="end"/>
      </w:r>
    </w:p>
    <w:p>
      <w:pPr>
        <w:pStyle w:val="5"/>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_Toc23824 </w:instrText>
      </w:r>
      <w:r>
        <w:rPr>
          <w:rFonts w:hint="eastAsia" w:ascii="仿宋" w:hAnsi="仿宋" w:eastAsia="仿宋" w:cs="仿宋"/>
          <w:sz w:val="28"/>
          <w:szCs w:val="28"/>
        </w:rPr>
        <w:fldChar w:fldCharType="separate"/>
      </w:r>
      <w:r>
        <w:rPr>
          <w:rFonts w:hint="eastAsia" w:ascii="黑体" w:hAnsi="黑体" w:cs="Times New Roman"/>
          <w:sz w:val="28"/>
          <w:szCs w:val="28"/>
          <w:lang w:val="zh-CN"/>
        </w:rPr>
        <w:t>2组织</w:t>
      </w:r>
      <w:r>
        <w:rPr>
          <w:rFonts w:hint="eastAsia" w:ascii="黑体" w:hAnsi="黑体" w:cs="Times New Roman"/>
          <w:sz w:val="28"/>
          <w:szCs w:val="28"/>
          <w:lang w:val="en-US" w:eastAsia="zh-CN"/>
        </w:rPr>
        <w:t>体系</w:t>
      </w:r>
      <w:r>
        <w:rPr>
          <w:sz w:val="28"/>
          <w:szCs w:val="28"/>
        </w:rPr>
        <w:tab/>
      </w:r>
      <w:r>
        <w:rPr>
          <w:sz w:val="28"/>
          <w:szCs w:val="28"/>
        </w:rPr>
        <w:fldChar w:fldCharType="begin"/>
      </w:r>
      <w:r>
        <w:rPr>
          <w:sz w:val="28"/>
          <w:szCs w:val="28"/>
        </w:rPr>
        <w:instrText xml:space="preserve"> PAGEREF _Toc23824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_Toc11455 </w:instrText>
      </w:r>
      <w:r>
        <w:rPr>
          <w:rFonts w:hint="eastAsia" w:ascii="仿宋" w:hAnsi="仿宋" w:eastAsia="仿宋" w:cs="仿宋"/>
          <w:sz w:val="28"/>
          <w:szCs w:val="28"/>
        </w:rPr>
        <w:fldChar w:fldCharType="separate"/>
      </w:r>
      <w:r>
        <w:rPr>
          <w:rFonts w:hint="eastAsia" w:ascii="仿宋_GB2312" w:hAnsi="Times New Roman" w:eastAsia="仿宋_GB2312" w:cs="Times New Roman"/>
          <w:kern w:val="44"/>
          <w:sz w:val="28"/>
          <w:szCs w:val="28"/>
          <w:lang w:val="en-US"/>
        </w:rPr>
        <w:t>2.1</w:t>
      </w:r>
      <w:r>
        <w:rPr>
          <w:rFonts w:hint="eastAsia" w:ascii="仿宋_GB2312" w:hAnsi="Times New Roman" w:eastAsia="仿宋_GB2312" w:cs="Times New Roman"/>
          <w:kern w:val="44"/>
          <w:sz w:val="28"/>
          <w:szCs w:val="28"/>
          <w:lang w:val="en-US" w:eastAsia="zh-CN"/>
        </w:rPr>
        <w:t>吴忠</w:t>
      </w:r>
      <w:r>
        <w:rPr>
          <w:rFonts w:hint="eastAsia" w:ascii="仿宋_GB2312" w:hAnsi="Times New Roman" w:eastAsia="仿宋_GB2312" w:cs="Times New Roman"/>
          <w:kern w:val="44"/>
          <w:sz w:val="28"/>
          <w:szCs w:val="28"/>
          <w:lang w:val="en-US"/>
        </w:rPr>
        <w:t>市</w:t>
      </w:r>
      <w:r>
        <w:rPr>
          <w:rFonts w:hint="eastAsia" w:ascii="仿宋_GB2312" w:hAnsi="Times New Roman" w:eastAsia="仿宋_GB2312" w:cs="Times New Roman"/>
          <w:kern w:val="44"/>
          <w:sz w:val="28"/>
          <w:szCs w:val="28"/>
          <w:lang w:val="en-US" w:eastAsia="zh-CN"/>
        </w:rPr>
        <w:t>应急</w:t>
      </w:r>
      <w:r>
        <w:rPr>
          <w:rFonts w:hint="eastAsia" w:ascii="仿宋_GB2312" w:hAnsi="Times New Roman" w:eastAsia="仿宋_GB2312" w:cs="Times New Roman"/>
          <w:kern w:val="44"/>
          <w:sz w:val="28"/>
          <w:szCs w:val="28"/>
          <w:lang w:val="en-US"/>
        </w:rPr>
        <w:t>指挥机构</w:t>
      </w:r>
      <w:r>
        <w:rPr>
          <w:sz w:val="28"/>
          <w:szCs w:val="28"/>
        </w:rPr>
        <w:tab/>
      </w:r>
      <w:r>
        <w:rPr>
          <w:sz w:val="28"/>
          <w:szCs w:val="28"/>
        </w:rPr>
        <w:fldChar w:fldCharType="begin"/>
      </w:r>
      <w:r>
        <w:rPr>
          <w:sz w:val="28"/>
          <w:szCs w:val="28"/>
        </w:rPr>
        <w:instrText xml:space="preserve"> PAGEREF _Toc11455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_Toc24607 </w:instrText>
      </w:r>
      <w:r>
        <w:rPr>
          <w:rFonts w:hint="eastAsia" w:ascii="仿宋" w:hAnsi="仿宋" w:eastAsia="仿宋" w:cs="仿宋"/>
          <w:sz w:val="28"/>
          <w:szCs w:val="28"/>
        </w:rPr>
        <w:fldChar w:fldCharType="separate"/>
      </w:r>
      <w:r>
        <w:rPr>
          <w:rFonts w:hint="eastAsia" w:ascii="仿宋_GB2312" w:hAnsi="Times New Roman" w:eastAsia="仿宋_GB2312" w:cs="Times New Roman"/>
          <w:kern w:val="44"/>
          <w:sz w:val="28"/>
          <w:szCs w:val="28"/>
          <w:lang w:val="en-US"/>
        </w:rPr>
        <w:t xml:space="preserve">2.2 </w:t>
      </w:r>
      <w:r>
        <w:rPr>
          <w:rFonts w:hint="eastAsia" w:ascii="仿宋_GB2312" w:hAnsi="Times New Roman" w:eastAsia="仿宋_GB2312" w:cs="Times New Roman"/>
          <w:kern w:val="44"/>
          <w:sz w:val="28"/>
          <w:szCs w:val="28"/>
          <w:lang w:val="en-US" w:eastAsia="zh-CN"/>
        </w:rPr>
        <w:t>吴忠市</w:t>
      </w:r>
      <w:r>
        <w:rPr>
          <w:rFonts w:hint="eastAsia" w:ascii="仿宋_GB2312" w:hAnsi="Times New Roman" w:eastAsia="仿宋_GB2312" w:cs="Times New Roman"/>
          <w:kern w:val="44"/>
          <w:sz w:val="28"/>
          <w:szCs w:val="28"/>
          <w:lang w:val="en-US"/>
        </w:rPr>
        <w:t>大面积停电应急指挥部主要职责</w:t>
      </w:r>
      <w:r>
        <w:rPr>
          <w:sz w:val="28"/>
          <w:szCs w:val="28"/>
        </w:rPr>
        <w:tab/>
      </w:r>
      <w:r>
        <w:rPr>
          <w:sz w:val="28"/>
          <w:szCs w:val="28"/>
        </w:rPr>
        <w:fldChar w:fldCharType="begin"/>
      </w:r>
      <w:r>
        <w:rPr>
          <w:sz w:val="28"/>
          <w:szCs w:val="28"/>
        </w:rPr>
        <w:instrText xml:space="preserve"> PAGEREF _Toc24607 \h </w:instrText>
      </w:r>
      <w:r>
        <w:rPr>
          <w:sz w:val="28"/>
          <w:szCs w:val="28"/>
        </w:rPr>
        <w:fldChar w:fldCharType="separate"/>
      </w:r>
      <w:r>
        <w:rPr>
          <w:sz w:val="28"/>
          <w:szCs w:val="28"/>
        </w:rPr>
        <w:t>3</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_Toc31851 </w:instrText>
      </w:r>
      <w:r>
        <w:rPr>
          <w:rFonts w:hint="eastAsia" w:ascii="仿宋" w:hAnsi="仿宋" w:eastAsia="仿宋" w:cs="仿宋"/>
          <w:sz w:val="28"/>
          <w:szCs w:val="28"/>
        </w:rPr>
        <w:fldChar w:fldCharType="separate"/>
      </w:r>
      <w:r>
        <w:rPr>
          <w:rFonts w:hint="eastAsia" w:ascii="仿宋_GB2312" w:hAnsi="Times New Roman" w:eastAsia="仿宋_GB2312" w:cs="Times New Roman"/>
          <w:kern w:val="44"/>
          <w:sz w:val="28"/>
          <w:szCs w:val="28"/>
          <w:lang w:val="en-US"/>
        </w:rPr>
        <w:t xml:space="preserve">2.3 </w:t>
      </w:r>
      <w:r>
        <w:rPr>
          <w:rFonts w:hint="eastAsia" w:ascii="仿宋_GB2312" w:hAnsi="Times New Roman" w:eastAsia="仿宋_GB2312" w:cs="Times New Roman"/>
          <w:kern w:val="44"/>
          <w:sz w:val="28"/>
          <w:szCs w:val="28"/>
          <w:lang w:val="en-US" w:eastAsia="zh-CN"/>
        </w:rPr>
        <w:t>吴忠市</w:t>
      </w:r>
      <w:r>
        <w:rPr>
          <w:rFonts w:hint="eastAsia" w:ascii="仿宋_GB2312" w:hAnsi="Times New Roman" w:eastAsia="仿宋_GB2312" w:cs="Times New Roman"/>
          <w:kern w:val="44"/>
          <w:sz w:val="28"/>
          <w:szCs w:val="28"/>
          <w:lang w:val="en-US"/>
        </w:rPr>
        <w:t>大面积停电应急指挥部办公室及职责</w:t>
      </w:r>
      <w:r>
        <w:rPr>
          <w:sz w:val="28"/>
          <w:szCs w:val="28"/>
        </w:rPr>
        <w:tab/>
      </w:r>
      <w:r>
        <w:rPr>
          <w:sz w:val="28"/>
          <w:szCs w:val="28"/>
        </w:rPr>
        <w:fldChar w:fldCharType="begin"/>
      </w:r>
      <w:r>
        <w:rPr>
          <w:sz w:val="28"/>
          <w:szCs w:val="28"/>
        </w:rPr>
        <w:instrText xml:space="preserve"> PAGEREF _Toc31851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_Toc27440 </w:instrText>
      </w:r>
      <w:r>
        <w:rPr>
          <w:rFonts w:hint="eastAsia" w:ascii="仿宋" w:hAnsi="仿宋" w:eastAsia="仿宋" w:cs="仿宋"/>
          <w:sz w:val="28"/>
          <w:szCs w:val="28"/>
        </w:rPr>
        <w:fldChar w:fldCharType="separate"/>
      </w:r>
      <w:r>
        <w:rPr>
          <w:rFonts w:hint="eastAsia" w:ascii="仿宋_GB2312" w:hAnsi="Times New Roman" w:eastAsia="仿宋_GB2312" w:cs="Times New Roman"/>
          <w:kern w:val="44"/>
          <w:sz w:val="28"/>
          <w:szCs w:val="28"/>
          <w:lang w:val="en-US"/>
        </w:rPr>
        <w:t>2.4 县(区)层面应急指挥机构</w:t>
      </w:r>
      <w:r>
        <w:rPr>
          <w:sz w:val="28"/>
          <w:szCs w:val="28"/>
        </w:rPr>
        <w:tab/>
      </w:r>
      <w:r>
        <w:rPr>
          <w:sz w:val="28"/>
          <w:szCs w:val="28"/>
        </w:rPr>
        <w:fldChar w:fldCharType="begin"/>
      </w:r>
      <w:r>
        <w:rPr>
          <w:sz w:val="28"/>
          <w:szCs w:val="28"/>
        </w:rPr>
        <w:instrText xml:space="preserve"> PAGEREF _Toc27440 \h </w:instrText>
      </w:r>
      <w:r>
        <w:rPr>
          <w:sz w:val="28"/>
          <w:szCs w:val="28"/>
        </w:rPr>
        <w:fldChar w:fldCharType="separate"/>
      </w:r>
      <w:r>
        <w:rPr>
          <w:sz w:val="28"/>
          <w:szCs w:val="28"/>
        </w:rPr>
        <w:t>6</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_Toc24341 </w:instrText>
      </w:r>
      <w:r>
        <w:rPr>
          <w:rFonts w:hint="eastAsia" w:ascii="仿宋" w:hAnsi="仿宋" w:eastAsia="仿宋" w:cs="仿宋"/>
          <w:sz w:val="28"/>
          <w:szCs w:val="28"/>
        </w:rPr>
        <w:fldChar w:fldCharType="separate"/>
      </w:r>
      <w:r>
        <w:rPr>
          <w:rFonts w:hint="eastAsia" w:ascii="仿宋_GB2312" w:hAnsi="Times New Roman" w:eastAsia="仿宋_GB2312" w:cs="Times New Roman"/>
          <w:kern w:val="44"/>
          <w:sz w:val="28"/>
          <w:szCs w:val="28"/>
          <w:lang w:val="en-US"/>
        </w:rPr>
        <w:t>2.5 现场指挥机构及职责</w:t>
      </w:r>
      <w:r>
        <w:rPr>
          <w:sz w:val="28"/>
          <w:szCs w:val="28"/>
        </w:rPr>
        <w:tab/>
      </w:r>
      <w:r>
        <w:rPr>
          <w:sz w:val="28"/>
          <w:szCs w:val="28"/>
        </w:rPr>
        <w:fldChar w:fldCharType="begin"/>
      </w:r>
      <w:r>
        <w:rPr>
          <w:sz w:val="28"/>
          <w:szCs w:val="28"/>
        </w:rPr>
        <w:instrText xml:space="preserve"> PAGEREF _Toc24341 \h </w:instrText>
      </w:r>
      <w:r>
        <w:rPr>
          <w:sz w:val="28"/>
          <w:szCs w:val="28"/>
        </w:rPr>
        <w:fldChar w:fldCharType="separate"/>
      </w:r>
      <w:r>
        <w:rPr>
          <w:sz w:val="28"/>
          <w:szCs w:val="28"/>
        </w:rPr>
        <w:t>6</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_Toc24889 </w:instrText>
      </w:r>
      <w:r>
        <w:rPr>
          <w:rFonts w:hint="eastAsia" w:ascii="仿宋" w:hAnsi="仿宋" w:eastAsia="仿宋" w:cs="仿宋"/>
          <w:sz w:val="28"/>
          <w:szCs w:val="28"/>
        </w:rPr>
        <w:fldChar w:fldCharType="separate"/>
      </w:r>
      <w:r>
        <w:rPr>
          <w:rFonts w:hint="eastAsia" w:ascii="仿宋_GB2312" w:hAnsi="Times New Roman" w:eastAsia="仿宋_GB2312" w:cs="Times New Roman"/>
          <w:kern w:val="44"/>
          <w:sz w:val="28"/>
          <w:szCs w:val="28"/>
          <w:lang w:val="en-US"/>
        </w:rPr>
        <w:t>2.6 电力企业</w:t>
      </w:r>
      <w:r>
        <w:rPr>
          <w:sz w:val="28"/>
          <w:szCs w:val="28"/>
        </w:rPr>
        <w:tab/>
      </w:r>
      <w:r>
        <w:rPr>
          <w:sz w:val="28"/>
          <w:szCs w:val="28"/>
        </w:rPr>
        <w:fldChar w:fldCharType="begin"/>
      </w:r>
      <w:r>
        <w:rPr>
          <w:sz w:val="28"/>
          <w:szCs w:val="28"/>
        </w:rPr>
        <w:instrText xml:space="preserve"> PAGEREF _Toc24889 \h </w:instrText>
      </w:r>
      <w:r>
        <w:rPr>
          <w:sz w:val="28"/>
          <w:szCs w:val="28"/>
        </w:rPr>
        <w:fldChar w:fldCharType="separate"/>
      </w:r>
      <w:r>
        <w:rPr>
          <w:sz w:val="28"/>
          <w:szCs w:val="28"/>
        </w:rPr>
        <w:t>6</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_Toc9737 </w:instrText>
      </w:r>
      <w:r>
        <w:rPr>
          <w:rFonts w:hint="eastAsia" w:ascii="仿宋" w:hAnsi="仿宋" w:eastAsia="仿宋" w:cs="仿宋"/>
          <w:sz w:val="28"/>
          <w:szCs w:val="28"/>
        </w:rPr>
        <w:fldChar w:fldCharType="separate"/>
      </w:r>
      <w:r>
        <w:rPr>
          <w:rFonts w:hint="eastAsia" w:ascii="仿宋_GB2312" w:hAnsi="Times New Roman" w:eastAsia="仿宋_GB2312" w:cs="Times New Roman"/>
          <w:kern w:val="44"/>
          <w:sz w:val="28"/>
          <w:szCs w:val="28"/>
          <w:lang w:val="en-US"/>
        </w:rPr>
        <w:t>2.7 重要电力用户</w:t>
      </w:r>
      <w:r>
        <w:rPr>
          <w:sz w:val="28"/>
          <w:szCs w:val="28"/>
        </w:rPr>
        <w:tab/>
      </w:r>
      <w:r>
        <w:rPr>
          <w:sz w:val="28"/>
          <w:szCs w:val="28"/>
        </w:rPr>
        <w:fldChar w:fldCharType="begin"/>
      </w:r>
      <w:r>
        <w:rPr>
          <w:sz w:val="28"/>
          <w:szCs w:val="28"/>
        </w:rPr>
        <w:instrText xml:space="preserve"> PAGEREF _Toc9737 \h </w:instrText>
      </w:r>
      <w:r>
        <w:rPr>
          <w:sz w:val="28"/>
          <w:szCs w:val="28"/>
        </w:rPr>
        <w:fldChar w:fldCharType="separate"/>
      </w:r>
      <w:r>
        <w:rPr>
          <w:sz w:val="28"/>
          <w:szCs w:val="28"/>
        </w:rPr>
        <w:t>6</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_Toc2004 </w:instrText>
      </w:r>
      <w:r>
        <w:rPr>
          <w:rFonts w:hint="eastAsia" w:ascii="仿宋" w:hAnsi="仿宋" w:eastAsia="仿宋" w:cs="仿宋"/>
          <w:sz w:val="28"/>
          <w:szCs w:val="28"/>
        </w:rPr>
        <w:fldChar w:fldCharType="separate"/>
      </w:r>
      <w:r>
        <w:rPr>
          <w:rFonts w:hint="eastAsia" w:ascii="仿宋_GB2312" w:hAnsi="Times New Roman" w:eastAsia="仿宋_GB2312" w:cs="Times New Roman"/>
          <w:kern w:val="44"/>
          <w:sz w:val="28"/>
          <w:szCs w:val="28"/>
          <w:lang w:val="en-US"/>
        </w:rPr>
        <w:t>2.8 信息联络员</w:t>
      </w:r>
      <w:r>
        <w:rPr>
          <w:sz w:val="28"/>
          <w:szCs w:val="28"/>
        </w:rPr>
        <w:tab/>
      </w:r>
      <w:r>
        <w:rPr>
          <w:sz w:val="28"/>
          <w:szCs w:val="28"/>
        </w:rPr>
        <w:fldChar w:fldCharType="begin"/>
      </w:r>
      <w:r>
        <w:rPr>
          <w:sz w:val="28"/>
          <w:szCs w:val="28"/>
        </w:rPr>
        <w:instrText xml:space="preserve"> PAGEREF _Toc2004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_Toc23532 </w:instrText>
      </w:r>
      <w:r>
        <w:rPr>
          <w:rFonts w:hint="eastAsia" w:ascii="仿宋" w:hAnsi="仿宋" w:eastAsia="仿宋" w:cs="仿宋"/>
          <w:sz w:val="28"/>
          <w:szCs w:val="28"/>
        </w:rPr>
        <w:fldChar w:fldCharType="separate"/>
      </w:r>
      <w:r>
        <w:rPr>
          <w:rFonts w:hint="eastAsia" w:ascii="仿宋_GB2312" w:hAnsi="Times New Roman" w:eastAsia="仿宋_GB2312" w:cs="Times New Roman"/>
          <w:kern w:val="44"/>
          <w:sz w:val="28"/>
          <w:szCs w:val="28"/>
          <w:lang w:val="en-US"/>
        </w:rPr>
        <w:t>2.9 专家组</w:t>
      </w:r>
      <w:r>
        <w:rPr>
          <w:sz w:val="28"/>
          <w:szCs w:val="28"/>
        </w:rPr>
        <w:tab/>
      </w:r>
      <w:r>
        <w:rPr>
          <w:sz w:val="28"/>
          <w:szCs w:val="28"/>
        </w:rPr>
        <w:fldChar w:fldCharType="begin"/>
      </w:r>
      <w:r>
        <w:rPr>
          <w:sz w:val="28"/>
          <w:szCs w:val="28"/>
        </w:rPr>
        <w:instrText xml:space="preserve"> PAGEREF _Toc23532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sz w:val="28"/>
          <w:szCs w:val="28"/>
        </w:rPr>
        <w:fldChar w:fldCharType="end"/>
      </w:r>
    </w:p>
    <w:p>
      <w:pPr>
        <w:pStyle w:val="5"/>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_Toc5289 </w:instrText>
      </w:r>
      <w:r>
        <w:rPr>
          <w:rFonts w:hint="eastAsia" w:ascii="仿宋" w:hAnsi="仿宋" w:eastAsia="仿宋" w:cs="仿宋"/>
          <w:sz w:val="28"/>
          <w:szCs w:val="28"/>
        </w:rPr>
        <w:fldChar w:fldCharType="separate"/>
      </w:r>
      <w:r>
        <w:rPr>
          <w:rFonts w:hint="eastAsia" w:ascii="黑体" w:hAnsi="黑体" w:cs="Times New Roman"/>
          <w:sz w:val="28"/>
          <w:szCs w:val="28"/>
          <w:lang w:val="zh-CN"/>
        </w:rPr>
        <w:t>3监测预警和信息报告</w:t>
      </w:r>
      <w:r>
        <w:rPr>
          <w:sz w:val="28"/>
          <w:szCs w:val="28"/>
        </w:rPr>
        <w:tab/>
      </w:r>
      <w:r>
        <w:rPr>
          <w:sz w:val="28"/>
          <w:szCs w:val="28"/>
        </w:rPr>
        <w:fldChar w:fldCharType="begin"/>
      </w:r>
      <w:r>
        <w:rPr>
          <w:sz w:val="28"/>
          <w:szCs w:val="28"/>
        </w:rPr>
        <w:instrText xml:space="preserve"> PAGEREF _Toc5289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_Toc10007 </w:instrText>
      </w:r>
      <w:r>
        <w:rPr>
          <w:rFonts w:hint="eastAsia" w:ascii="仿宋" w:hAnsi="仿宋" w:eastAsia="仿宋" w:cs="仿宋"/>
          <w:sz w:val="28"/>
          <w:szCs w:val="28"/>
        </w:rPr>
        <w:fldChar w:fldCharType="separate"/>
      </w:r>
      <w:r>
        <w:rPr>
          <w:rFonts w:hint="eastAsia" w:ascii="仿宋_GB2312" w:hAnsi="Times New Roman" w:eastAsia="仿宋_GB2312" w:cs="Times New Roman"/>
          <w:kern w:val="44"/>
          <w:sz w:val="28"/>
          <w:szCs w:val="28"/>
          <w:lang w:val="zh-CN"/>
        </w:rPr>
        <w:t>3.1</w:t>
      </w:r>
      <w:r>
        <w:rPr>
          <w:rFonts w:hint="eastAsia" w:ascii="仿宋_GB2312" w:hAnsi="Times New Roman" w:eastAsia="仿宋_GB2312" w:cs="Times New Roman"/>
          <w:kern w:val="44"/>
          <w:sz w:val="28"/>
          <w:szCs w:val="28"/>
          <w:lang w:val="en-US"/>
        </w:rPr>
        <w:t xml:space="preserve"> 监测和风险分析</w:t>
      </w:r>
      <w:r>
        <w:rPr>
          <w:sz w:val="28"/>
          <w:szCs w:val="28"/>
        </w:rPr>
        <w:tab/>
      </w:r>
      <w:r>
        <w:rPr>
          <w:sz w:val="28"/>
          <w:szCs w:val="28"/>
        </w:rPr>
        <w:fldChar w:fldCharType="begin"/>
      </w:r>
      <w:r>
        <w:rPr>
          <w:sz w:val="28"/>
          <w:szCs w:val="28"/>
        </w:rPr>
        <w:instrText xml:space="preserve"> PAGEREF _Toc10007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_Toc26315 </w:instrText>
      </w:r>
      <w:r>
        <w:rPr>
          <w:rFonts w:hint="eastAsia" w:ascii="仿宋" w:hAnsi="仿宋" w:eastAsia="仿宋" w:cs="仿宋"/>
          <w:sz w:val="28"/>
          <w:szCs w:val="28"/>
        </w:rPr>
        <w:fldChar w:fldCharType="separate"/>
      </w:r>
      <w:r>
        <w:rPr>
          <w:rFonts w:hint="eastAsia" w:ascii="仿宋_GB2312" w:hAnsi="Times New Roman" w:eastAsia="仿宋_GB2312" w:cs="Times New Roman"/>
          <w:kern w:val="44"/>
          <w:sz w:val="28"/>
          <w:szCs w:val="28"/>
          <w:lang w:val="zh-CN" w:eastAsia="zh-CN"/>
        </w:rPr>
        <w:t>3.</w:t>
      </w:r>
      <w:r>
        <w:rPr>
          <w:rFonts w:hint="eastAsia" w:ascii="仿宋_GB2312" w:hAnsi="Times New Roman" w:eastAsia="仿宋_GB2312" w:cs="Times New Roman"/>
          <w:kern w:val="44"/>
          <w:sz w:val="28"/>
          <w:szCs w:val="28"/>
          <w:lang w:val="en-US" w:eastAsia="zh-CN"/>
        </w:rPr>
        <w:t>2</w:t>
      </w:r>
      <w:r>
        <w:rPr>
          <w:rFonts w:hint="eastAsia" w:ascii="仿宋_GB2312" w:hAnsi="Times New Roman" w:eastAsia="仿宋_GB2312" w:cs="Times New Roman"/>
          <w:kern w:val="44"/>
          <w:sz w:val="28"/>
          <w:szCs w:val="28"/>
          <w:lang w:val="zh-CN" w:eastAsia="zh-CN"/>
        </w:rPr>
        <w:t>预警</w:t>
      </w:r>
      <w:r>
        <w:rPr>
          <w:sz w:val="28"/>
          <w:szCs w:val="28"/>
        </w:rPr>
        <w:tab/>
      </w:r>
      <w:r>
        <w:rPr>
          <w:sz w:val="28"/>
          <w:szCs w:val="28"/>
        </w:rPr>
        <w:fldChar w:fldCharType="begin"/>
      </w:r>
      <w:r>
        <w:rPr>
          <w:sz w:val="28"/>
          <w:szCs w:val="28"/>
        </w:rPr>
        <w:instrText xml:space="preserve"> PAGEREF _Toc26315 \h </w:instrText>
      </w:r>
      <w:r>
        <w:rPr>
          <w:sz w:val="28"/>
          <w:szCs w:val="28"/>
        </w:rPr>
        <w:fldChar w:fldCharType="separate"/>
      </w:r>
      <w:r>
        <w:rPr>
          <w:sz w:val="28"/>
          <w:szCs w:val="28"/>
        </w:rPr>
        <w:t>8</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_Toc31722 </w:instrText>
      </w:r>
      <w:r>
        <w:rPr>
          <w:rFonts w:hint="eastAsia" w:ascii="仿宋" w:hAnsi="仿宋" w:eastAsia="仿宋" w:cs="仿宋"/>
          <w:sz w:val="28"/>
          <w:szCs w:val="28"/>
        </w:rPr>
        <w:fldChar w:fldCharType="separate"/>
      </w:r>
      <w:r>
        <w:rPr>
          <w:rFonts w:hint="eastAsia" w:ascii="仿宋_GB2312" w:hAnsi="Times New Roman" w:eastAsia="仿宋_GB2312" w:cs="Times New Roman"/>
          <w:kern w:val="44"/>
          <w:sz w:val="28"/>
          <w:szCs w:val="28"/>
          <w:lang w:val="en-US" w:eastAsia="zh-CN"/>
        </w:rPr>
        <w:t>3.3</w:t>
      </w:r>
      <w:r>
        <w:rPr>
          <w:rFonts w:hint="eastAsia" w:ascii="仿宋_GB2312" w:hAnsi="Times New Roman" w:eastAsia="仿宋_GB2312" w:cs="Times New Roman"/>
          <w:kern w:val="44"/>
          <w:sz w:val="28"/>
          <w:szCs w:val="28"/>
          <w:lang w:val="zh-CN" w:eastAsia="zh-CN"/>
        </w:rPr>
        <w:t>信息报告</w:t>
      </w:r>
      <w:r>
        <w:rPr>
          <w:sz w:val="28"/>
          <w:szCs w:val="28"/>
        </w:rPr>
        <w:tab/>
      </w:r>
      <w:r>
        <w:rPr>
          <w:sz w:val="28"/>
          <w:szCs w:val="28"/>
        </w:rPr>
        <w:fldChar w:fldCharType="begin"/>
      </w:r>
      <w:r>
        <w:rPr>
          <w:sz w:val="28"/>
          <w:szCs w:val="28"/>
        </w:rPr>
        <w:instrText xml:space="preserve"> PAGEREF _Toc31722 \h </w:instrText>
      </w:r>
      <w:r>
        <w:rPr>
          <w:sz w:val="28"/>
          <w:szCs w:val="28"/>
        </w:rPr>
        <w:fldChar w:fldCharType="separate"/>
      </w:r>
      <w:r>
        <w:rPr>
          <w:sz w:val="28"/>
          <w:szCs w:val="28"/>
        </w:rPr>
        <w:t>9</w:t>
      </w:r>
      <w:r>
        <w:rPr>
          <w:sz w:val="28"/>
          <w:szCs w:val="28"/>
        </w:rPr>
        <w:fldChar w:fldCharType="end"/>
      </w:r>
      <w:r>
        <w:rPr>
          <w:rFonts w:hint="eastAsia" w:ascii="仿宋" w:hAnsi="仿宋" w:eastAsia="仿宋" w:cs="仿宋"/>
          <w:sz w:val="28"/>
          <w:szCs w:val="28"/>
        </w:rPr>
        <w:fldChar w:fldCharType="end"/>
      </w:r>
    </w:p>
    <w:p>
      <w:pPr>
        <w:pStyle w:val="5"/>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_Toc21581 </w:instrText>
      </w:r>
      <w:r>
        <w:rPr>
          <w:rFonts w:hint="eastAsia" w:ascii="仿宋" w:hAnsi="仿宋" w:eastAsia="仿宋" w:cs="仿宋"/>
          <w:sz w:val="28"/>
          <w:szCs w:val="28"/>
        </w:rPr>
        <w:fldChar w:fldCharType="separate"/>
      </w:r>
      <w:r>
        <w:rPr>
          <w:rFonts w:hint="eastAsia" w:ascii="黑体" w:hAnsi="黑体" w:cs="Times New Roman"/>
          <w:sz w:val="28"/>
          <w:szCs w:val="28"/>
          <w:lang w:val="en-US" w:eastAsia="zh-CN"/>
        </w:rPr>
        <w:t>4</w:t>
      </w:r>
      <w:r>
        <w:rPr>
          <w:rFonts w:hint="eastAsia" w:ascii="黑体" w:hAnsi="黑体" w:cs="Times New Roman"/>
          <w:sz w:val="28"/>
          <w:szCs w:val="28"/>
          <w:lang w:val="zh-CN"/>
        </w:rPr>
        <w:t>响应</w:t>
      </w:r>
      <w:r>
        <w:rPr>
          <w:rFonts w:hint="eastAsia" w:ascii="黑体" w:hAnsi="黑体" w:cs="Times New Roman"/>
          <w:sz w:val="28"/>
          <w:szCs w:val="28"/>
          <w:lang w:val="zh-CN" w:eastAsia="zh-CN"/>
        </w:rPr>
        <w:t>启动</w:t>
      </w:r>
      <w:r>
        <w:rPr>
          <w:sz w:val="28"/>
          <w:szCs w:val="28"/>
        </w:rPr>
        <w:tab/>
      </w:r>
      <w:r>
        <w:rPr>
          <w:sz w:val="28"/>
          <w:szCs w:val="28"/>
        </w:rPr>
        <w:fldChar w:fldCharType="begin"/>
      </w:r>
      <w:r>
        <w:rPr>
          <w:sz w:val="28"/>
          <w:szCs w:val="28"/>
        </w:rPr>
        <w:instrText xml:space="preserve"> PAGEREF _Toc21581 \h </w:instrText>
      </w:r>
      <w:r>
        <w:rPr>
          <w:sz w:val="28"/>
          <w:szCs w:val="28"/>
        </w:rPr>
        <w:fldChar w:fldCharType="separate"/>
      </w:r>
      <w:r>
        <w:rPr>
          <w:sz w:val="28"/>
          <w:szCs w:val="28"/>
        </w:rPr>
        <w:t>10</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_Toc1681 </w:instrText>
      </w:r>
      <w:r>
        <w:rPr>
          <w:rFonts w:hint="eastAsia" w:ascii="仿宋" w:hAnsi="仿宋" w:eastAsia="仿宋" w:cs="仿宋"/>
          <w:sz w:val="28"/>
          <w:szCs w:val="28"/>
        </w:rPr>
        <w:fldChar w:fldCharType="separate"/>
      </w:r>
      <w:r>
        <w:rPr>
          <w:rFonts w:hint="default" w:ascii="仿宋_GB2312" w:hAnsi="Times New Roman" w:eastAsia="仿宋_GB2312" w:cs="Times New Roman"/>
          <w:kern w:val="44"/>
          <w:sz w:val="28"/>
          <w:szCs w:val="28"/>
          <w:lang w:val="en-US" w:eastAsia="zh-CN"/>
        </w:rPr>
        <w:t>4.1</w:t>
      </w:r>
      <w:r>
        <w:rPr>
          <w:rFonts w:hint="default" w:ascii="仿宋_GB2312" w:hAnsi="Times New Roman" w:eastAsia="仿宋_GB2312" w:cs="Times New Roman"/>
          <w:kern w:val="44"/>
          <w:sz w:val="28"/>
          <w:szCs w:val="28"/>
          <w:lang w:val="zh-CN" w:eastAsia="zh-CN"/>
        </w:rPr>
        <w:t>响应分级</w:t>
      </w:r>
      <w:r>
        <w:rPr>
          <w:sz w:val="28"/>
          <w:szCs w:val="28"/>
        </w:rPr>
        <w:tab/>
      </w:r>
      <w:r>
        <w:rPr>
          <w:sz w:val="28"/>
          <w:szCs w:val="28"/>
        </w:rPr>
        <w:fldChar w:fldCharType="begin"/>
      </w:r>
      <w:r>
        <w:rPr>
          <w:sz w:val="28"/>
          <w:szCs w:val="28"/>
        </w:rPr>
        <w:instrText xml:space="preserve"> PAGEREF _Toc1681 \h </w:instrText>
      </w:r>
      <w:r>
        <w:rPr>
          <w:sz w:val="28"/>
          <w:szCs w:val="28"/>
        </w:rPr>
        <w:fldChar w:fldCharType="separate"/>
      </w:r>
      <w:r>
        <w:rPr>
          <w:sz w:val="28"/>
          <w:szCs w:val="28"/>
        </w:rPr>
        <w:t>10</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_Toc30062 </w:instrText>
      </w:r>
      <w:r>
        <w:rPr>
          <w:rFonts w:hint="eastAsia" w:ascii="仿宋" w:hAnsi="仿宋" w:eastAsia="仿宋" w:cs="仿宋"/>
          <w:sz w:val="28"/>
          <w:szCs w:val="28"/>
        </w:rPr>
        <w:fldChar w:fldCharType="separate"/>
      </w:r>
      <w:r>
        <w:rPr>
          <w:rFonts w:hint="eastAsia" w:ascii="仿宋_GB2312" w:hAnsi="Times New Roman" w:eastAsia="仿宋_GB2312" w:cs="Times New Roman"/>
          <w:kern w:val="44"/>
          <w:sz w:val="28"/>
          <w:szCs w:val="28"/>
          <w:lang w:val="zh-CN" w:eastAsia="zh-CN"/>
        </w:rPr>
        <w:t>4.2 响应措施</w:t>
      </w:r>
      <w:r>
        <w:rPr>
          <w:sz w:val="28"/>
          <w:szCs w:val="28"/>
        </w:rPr>
        <w:tab/>
      </w:r>
      <w:r>
        <w:rPr>
          <w:sz w:val="28"/>
          <w:szCs w:val="28"/>
        </w:rPr>
        <w:fldChar w:fldCharType="begin"/>
      </w:r>
      <w:r>
        <w:rPr>
          <w:sz w:val="28"/>
          <w:szCs w:val="28"/>
        </w:rPr>
        <w:instrText xml:space="preserve"> PAGEREF _Toc30062 \h </w:instrText>
      </w:r>
      <w:r>
        <w:rPr>
          <w:sz w:val="28"/>
          <w:szCs w:val="28"/>
        </w:rPr>
        <w:fldChar w:fldCharType="separate"/>
      </w:r>
      <w:r>
        <w:rPr>
          <w:sz w:val="28"/>
          <w:szCs w:val="28"/>
        </w:rPr>
        <w:t>11</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_Toc12302 </w:instrText>
      </w:r>
      <w:r>
        <w:rPr>
          <w:rFonts w:hint="eastAsia" w:ascii="仿宋" w:hAnsi="仿宋" w:eastAsia="仿宋" w:cs="仿宋"/>
          <w:sz w:val="28"/>
          <w:szCs w:val="28"/>
        </w:rPr>
        <w:fldChar w:fldCharType="separate"/>
      </w:r>
      <w:r>
        <w:rPr>
          <w:rFonts w:hint="default" w:ascii="仿宋_GB2312" w:hAnsi="Times New Roman" w:eastAsia="仿宋_GB2312" w:cs="Times New Roman"/>
          <w:kern w:val="44"/>
          <w:sz w:val="28"/>
          <w:szCs w:val="28"/>
          <w:lang w:val="zh-CN" w:eastAsia="zh-CN"/>
        </w:rPr>
        <w:t xml:space="preserve">4.3 </w:t>
      </w:r>
      <w:r>
        <w:rPr>
          <w:rFonts w:hint="eastAsia" w:ascii="仿宋_GB2312" w:hAnsi="Times New Roman" w:eastAsia="仿宋_GB2312" w:cs="Times New Roman"/>
          <w:kern w:val="44"/>
          <w:sz w:val="28"/>
          <w:szCs w:val="28"/>
          <w:lang w:val="en-US" w:eastAsia="zh-CN"/>
        </w:rPr>
        <w:t>吴忠市</w:t>
      </w:r>
      <w:r>
        <w:rPr>
          <w:rFonts w:hint="default" w:ascii="仿宋_GB2312" w:hAnsi="Times New Roman" w:eastAsia="仿宋_GB2312" w:cs="Times New Roman"/>
          <w:kern w:val="44"/>
          <w:sz w:val="28"/>
          <w:szCs w:val="28"/>
          <w:lang w:val="zh-CN" w:eastAsia="zh-CN"/>
        </w:rPr>
        <w:t>层面应对</w:t>
      </w:r>
      <w:r>
        <w:rPr>
          <w:sz w:val="28"/>
          <w:szCs w:val="28"/>
        </w:rPr>
        <w:tab/>
      </w:r>
      <w:r>
        <w:rPr>
          <w:sz w:val="28"/>
          <w:szCs w:val="28"/>
        </w:rPr>
        <w:fldChar w:fldCharType="begin"/>
      </w:r>
      <w:r>
        <w:rPr>
          <w:sz w:val="28"/>
          <w:szCs w:val="28"/>
        </w:rPr>
        <w:instrText xml:space="preserve"> PAGEREF _Toc12302 \h </w:instrText>
      </w:r>
      <w:r>
        <w:rPr>
          <w:sz w:val="28"/>
          <w:szCs w:val="28"/>
        </w:rPr>
        <w:fldChar w:fldCharType="separate"/>
      </w:r>
      <w:r>
        <w:rPr>
          <w:sz w:val="28"/>
          <w:szCs w:val="28"/>
        </w:rPr>
        <w:t>12</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_Toc25079 </w:instrText>
      </w:r>
      <w:r>
        <w:rPr>
          <w:rFonts w:hint="eastAsia" w:ascii="仿宋" w:hAnsi="仿宋" w:eastAsia="仿宋" w:cs="仿宋"/>
          <w:sz w:val="28"/>
          <w:szCs w:val="28"/>
        </w:rPr>
        <w:fldChar w:fldCharType="separate"/>
      </w:r>
      <w:r>
        <w:rPr>
          <w:rFonts w:hint="default" w:ascii="仿宋_GB2312" w:hAnsi="Times New Roman" w:eastAsia="仿宋_GB2312" w:cs="Times New Roman"/>
          <w:kern w:val="44"/>
          <w:sz w:val="28"/>
          <w:szCs w:val="28"/>
          <w:lang w:val="zh-CN" w:eastAsia="zh-CN"/>
        </w:rPr>
        <w:t>4.4 响应终止</w:t>
      </w:r>
      <w:r>
        <w:rPr>
          <w:sz w:val="28"/>
          <w:szCs w:val="28"/>
        </w:rPr>
        <w:tab/>
      </w:r>
      <w:r>
        <w:rPr>
          <w:sz w:val="28"/>
          <w:szCs w:val="28"/>
        </w:rPr>
        <w:fldChar w:fldCharType="begin"/>
      </w:r>
      <w:r>
        <w:rPr>
          <w:sz w:val="28"/>
          <w:szCs w:val="28"/>
        </w:rPr>
        <w:instrText xml:space="preserve"> PAGEREF _Toc25079 \h </w:instrText>
      </w:r>
      <w:r>
        <w:rPr>
          <w:sz w:val="28"/>
          <w:szCs w:val="28"/>
        </w:rPr>
        <w:fldChar w:fldCharType="separate"/>
      </w:r>
      <w:r>
        <w:rPr>
          <w:sz w:val="28"/>
          <w:szCs w:val="28"/>
        </w:rPr>
        <w:t>14</w:t>
      </w:r>
      <w:r>
        <w:rPr>
          <w:sz w:val="28"/>
          <w:szCs w:val="28"/>
        </w:rPr>
        <w:fldChar w:fldCharType="end"/>
      </w:r>
      <w:r>
        <w:rPr>
          <w:rFonts w:hint="eastAsia" w:ascii="仿宋" w:hAnsi="仿宋" w:eastAsia="仿宋" w:cs="仿宋"/>
          <w:sz w:val="28"/>
          <w:szCs w:val="28"/>
        </w:rPr>
        <w:fldChar w:fldCharType="end"/>
      </w:r>
    </w:p>
    <w:p>
      <w:pPr>
        <w:pStyle w:val="5"/>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_Toc141 </w:instrText>
      </w:r>
      <w:r>
        <w:rPr>
          <w:rFonts w:hint="eastAsia" w:ascii="仿宋" w:hAnsi="仿宋" w:eastAsia="仿宋" w:cs="仿宋"/>
          <w:sz w:val="28"/>
          <w:szCs w:val="28"/>
        </w:rPr>
        <w:fldChar w:fldCharType="separate"/>
      </w:r>
      <w:r>
        <w:rPr>
          <w:rFonts w:hint="default" w:ascii="黑体" w:hAnsi="黑体" w:cs="Times New Roman"/>
          <w:sz w:val="28"/>
          <w:szCs w:val="28"/>
          <w:lang w:val="en-US" w:eastAsia="zh-CN"/>
        </w:rPr>
        <w:t>5</w:t>
      </w:r>
      <w:r>
        <w:rPr>
          <w:rFonts w:hint="default" w:ascii="黑体" w:hAnsi="黑体" w:cs="Times New Roman"/>
          <w:sz w:val="28"/>
          <w:szCs w:val="28"/>
          <w:lang w:val="zh-CN" w:eastAsia="zh-CN"/>
        </w:rPr>
        <w:t>后期处置</w:t>
      </w:r>
      <w:r>
        <w:rPr>
          <w:sz w:val="28"/>
          <w:szCs w:val="28"/>
        </w:rPr>
        <w:tab/>
      </w:r>
      <w:r>
        <w:rPr>
          <w:sz w:val="28"/>
          <w:szCs w:val="28"/>
        </w:rPr>
        <w:fldChar w:fldCharType="begin"/>
      </w:r>
      <w:r>
        <w:rPr>
          <w:sz w:val="28"/>
          <w:szCs w:val="28"/>
        </w:rPr>
        <w:instrText xml:space="preserve"> PAGEREF _Toc141 \h </w:instrText>
      </w:r>
      <w:r>
        <w:rPr>
          <w:sz w:val="28"/>
          <w:szCs w:val="28"/>
        </w:rPr>
        <w:fldChar w:fldCharType="separate"/>
      </w:r>
      <w:r>
        <w:rPr>
          <w:sz w:val="28"/>
          <w:szCs w:val="28"/>
        </w:rPr>
        <w:t>14</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_Toc15050 </w:instrText>
      </w:r>
      <w:r>
        <w:rPr>
          <w:rFonts w:hint="eastAsia" w:ascii="仿宋" w:hAnsi="仿宋" w:eastAsia="仿宋" w:cs="仿宋"/>
          <w:sz w:val="28"/>
          <w:szCs w:val="28"/>
        </w:rPr>
        <w:fldChar w:fldCharType="separate"/>
      </w:r>
      <w:r>
        <w:rPr>
          <w:rFonts w:hint="default" w:ascii="仿宋_GB2312" w:hAnsi="Times New Roman" w:eastAsia="仿宋_GB2312" w:cs="Times New Roman"/>
          <w:kern w:val="44"/>
          <w:sz w:val="28"/>
          <w:szCs w:val="28"/>
          <w:lang w:val="en-US" w:eastAsia="zh-CN"/>
        </w:rPr>
        <w:t>5.1处置评估</w:t>
      </w:r>
      <w:r>
        <w:rPr>
          <w:sz w:val="28"/>
          <w:szCs w:val="28"/>
        </w:rPr>
        <w:tab/>
      </w:r>
      <w:r>
        <w:rPr>
          <w:sz w:val="28"/>
          <w:szCs w:val="28"/>
        </w:rPr>
        <w:fldChar w:fldCharType="begin"/>
      </w:r>
      <w:r>
        <w:rPr>
          <w:sz w:val="28"/>
          <w:szCs w:val="28"/>
        </w:rPr>
        <w:instrText xml:space="preserve"> PAGEREF _Toc15050 \h </w:instrText>
      </w:r>
      <w:r>
        <w:rPr>
          <w:sz w:val="28"/>
          <w:szCs w:val="28"/>
        </w:rPr>
        <w:fldChar w:fldCharType="separate"/>
      </w:r>
      <w:r>
        <w:rPr>
          <w:sz w:val="28"/>
          <w:szCs w:val="28"/>
        </w:rPr>
        <w:t>14</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_Toc28996 </w:instrText>
      </w:r>
      <w:r>
        <w:rPr>
          <w:rFonts w:hint="eastAsia" w:ascii="仿宋" w:hAnsi="仿宋" w:eastAsia="仿宋" w:cs="仿宋"/>
          <w:sz w:val="28"/>
          <w:szCs w:val="28"/>
        </w:rPr>
        <w:fldChar w:fldCharType="separate"/>
      </w:r>
      <w:r>
        <w:rPr>
          <w:rFonts w:hint="default" w:ascii="仿宋_GB2312" w:hAnsi="Times New Roman" w:eastAsia="仿宋_GB2312" w:cs="Times New Roman"/>
          <w:kern w:val="44"/>
          <w:sz w:val="28"/>
          <w:szCs w:val="28"/>
          <w:lang w:val="en-US" w:eastAsia="zh-CN"/>
        </w:rPr>
        <w:t>5.2事件调查</w:t>
      </w:r>
      <w:r>
        <w:rPr>
          <w:sz w:val="28"/>
          <w:szCs w:val="28"/>
        </w:rPr>
        <w:tab/>
      </w:r>
      <w:r>
        <w:rPr>
          <w:sz w:val="28"/>
          <w:szCs w:val="28"/>
        </w:rPr>
        <w:fldChar w:fldCharType="begin"/>
      </w:r>
      <w:r>
        <w:rPr>
          <w:sz w:val="28"/>
          <w:szCs w:val="28"/>
        </w:rPr>
        <w:instrText xml:space="preserve"> PAGEREF _Toc28996 \h </w:instrText>
      </w:r>
      <w:r>
        <w:rPr>
          <w:sz w:val="28"/>
          <w:szCs w:val="28"/>
        </w:rPr>
        <w:fldChar w:fldCharType="separate"/>
      </w:r>
      <w:r>
        <w:rPr>
          <w:sz w:val="28"/>
          <w:szCs w:val="28"/>
        </w:rPr>
        <w:t>15</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_Toc26805 </w:instrText>
      </w:r>
      <w:r>
        <w:rPr>
          <w:rFonts w:hint="eastAsia" w:ascii="仿宋" w:hAnsi="仿宋" w:eastAsia="仿宋" w:cs="仿宋"/>
          <w:sz w:val="28"/>
          <w:szCs w:val="28"/>
        </w:rPr>
        <w:fldChar w:fldCharType="separate"/>
      </w:r>
      <w:r>
        <w:rPr>
          <w:rFonts w:hint="default" w:ascii="仿宋_GB2312" w:hAnsi="Times New Roman" w:eastAsia="仿宋_GB2312" w:cs="Times New Roman"/>
          <w:kern w:val="44"/>
          <w:sz w:val="28"/>
          <w:szCs w:val="28"/>
          <w:lang w:val="en-US" w:eastAsia="zh-CN"/>
        </w:rPr>
        <w:t>5.3善后处置</w:t>
      </w:r>
      <w:r>
        <w:rPr>
          <w:sz w:val="28"/>
          <w:szCs w:val="28"/>
        </w:rPr>
        <w:tab/>
      </w:r>
      <w:r>
        <w:rPr>
          <w:sz w:val="28"/>
          <w:szCs w:val="28"/>
        </w:rPr>
        <w:fldChar w:fldCharType="begin"/>
      </w:r>
      <w:r>
        <w:rPr>
          <w:sz w:val="28"/>
          <w:szCs w:val="28"/>
        </w:rPr>
        <w:instrText xml:space="preserve"> PAGEREF _Toc26805 \h </w:instrText>
      </w:r>
      <w:r>
        <w:rPr>
          <w:sz w:val="28"/>
          <w:szCs w:val="28"/>
        </w:rPr>
        <w:fldChar w:fldCharType="separate"/>
      </w:r>
      <w:r>
        <w:rPr>
          <w:sz w:val="28"/>
          <w:szCs w:val="28"/>
        </w:rPr>
        <w:t>15</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_Toc4721 </w:instrText>
      </w:r>
      <w:r>
        <w:rPr>
          <w:rFonts w:hint="eastAsia" w:ascii="仿宋" w:hAnsi="仿宋" w:eastAsia="仿宋" w:cs="仿宋"/>
          <w:sz w:val="28"/>
          <w:szCs w:val="28"/>
        </w:rPr>
        <w:fldChar w:fldCharType="separate"/>
      </w:r>
      <w:r>
        <w:rPr>
          <w:rFonts w:hint="default" w:ascii="仿宋_GB2312" w:hAnsi="Times New Roman" w:eastAsia="仿宋_GB2312" w:cs="Times New Roman"/>
          <w:kern w:val="44"/>
          <w:sz w:val="28"/>
          <w:szCs w:val="28"/>
          <w:lang w:val="en-US" w:eastAsia="zh-CN"/>
        </w:rPr>
        <w:t>5.4恢复重建</w:t>
      </w:r>
      <w:r>
        <w:rPr>
          <w:sz w:val="28"/>
          <w:szCs w:val="28"/>
        </w:rPr>
        <w:tab/>
      </w:r>
      <w:r>
        <w:rPr>
          <w:sz w:val="28"/>
          <w:szCs w:val="28"/>
        </w:rPr>
        <w:fldChar w:fldCharType="begin"/>
      </w:r>
      <w:r>
        <w:rPr>
          <w:sz w:val="28"/>
          <w:szCs w:val="28"/>
        </w:rPr>
        <w:instrText xml:space="preserve"> PAGEREF _Toc4721 \h </w:instrText>
      </w:r>
      <w:r>
        <w:rPr>
          <w:sz w:val="28"/>
          <w:szCs w:val="28"/>
        </w:rPr>
        <w:fldChar w:fldCharType="separate"/>
      </w:r>
      <w:r>
        <w:rPr>
          <w:sz w:val="28"/>
          <w:szCs w:val="28"/>
        </w:rPr>
        <w:t>15</w:t>
      </w:r>
      <w:r>
        <w:rPr>
          <w:sz w:val="28"/>
          <w:szCs w:val="28"/>
        </w:rPr>
        <w:fldChar w:fldCharType="end"/>
      </w:r>
      <w:r>
        <w:rPr>
          <w:rFonts w:hint="eastAsia" w:ascii="仿宋" w:hAnsi="仿宋" w:eastAsia="仿宋" w:cs="仿宋"/>
          <w:sz w:val="28"/>
          <w:szCs w:val="28"/>
        </w:rPr>
        <w:fldChar w:fldCharType="end"/>
      </w:r>
    </w:p>
    <w:p>
      <w:pPr>
        <w:pStyle w:val="5"/>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_Toc769 </w:instrText>
      </w:r>
      <w:r>
        <w:rPr>
          <w:rFonts w:hint="eastAsia" w:ascii="仿宋" w:hAnsi="仿宋" w:eastAsia="仿宋" w:cs="仿宋"/>
          <w:sz w:val="28"/>
          <w:szCs w:val="28"/>
        </w:rPr>
        <w:fldChar w:fldCharType="separate"/>
      </w:r>
      <w:r>
        <w:rPr>
          <w:rFonts w:hint="default" w:ascii="黑体" w:hAnsi="黑体" w:cs="Times New Roman"/>
          <w:sz w:val="28"/>
          <w:szCs w:val="28"/>
          <w:lang w:val="en-US"/>
        </w:rPr>
        <w:t>6</w:t>
      </w:r>
      <w:r>
        <w:rPr>
          <w:rFonts w:hint="eastAsia" w:ascii="黑体" w:hAnsi="黑体" w:cs="Times New Roman"/>
          <w:sz w:val="28"/>
          <w:szCs w:val="28"/>
          <w:lang w:val="en-US" w:eastAsia="zh-CN"/>
        </w:rPr>
        <w:t>应急</w:t>
      </w:r>
      <w:r>
        <w:rPr>
          <w:rFonts w:hint="default" w:ascii="黑体" w:hAnsi="黑体" w:cs="Times New Roman"/>
          <w:sz w:val="28"/>
          <w:szCs w:val="28"/>
          <w:lang w:val="zh-CN"/>
        </w:rPr>
        <w:t>保障</w:t>
      </w:r>
      <w:r>
        <w:rPr>
          <w:sz w:val="28"/>
          <w:szCs w:val="28"/>
        </w:rPr>
        <w:tab/>
      </w:r>
      <w:r>
        <w:rPr>
          <w:sz w:val="28"/>
          <w:szCs w:val="28"/>
        </w:rPr>
        <w:fldChar w:fldCharType="begin"/>
      </w:r>
      <w:r>
        <w:rPr>
          <w:sz w:val="28"/>
          <w:szCs w:val="28"/>
        </w:rPr>
        <w:instrText xml:space="preserve"> PAGEREF _Toc769 \h </w:instrText>
      </w:r>
      <w:r>
        <w:rPr>
          <w:sz w:val="28"/>
          <w:szCs w:val="28"/>
        </w:rPr>
        <w:fldChar w:fldCharType="separate"/>
      </w:r>
      <w:r>
        <w:rPr>
          <w:sz w:val="28"/>
          <w:szCs w:val="28"/>
        </w:rPr>
        <w:t>16</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_Toc20023 </w:instrText>
      </w:r>
      <w:r>
        <w:rPr>
          <w:rFonts w:hint="eastAsia" w:ascii="仿宋" w:hAnsi="仿宋" w:eastAsia="仿宋" w:cs="仿宋"/>
          <w:sz w:val="28"/>
          <w:szCs w:val="28"/>
        </w:rPr>
        <w:fldChar w:fldCharType="separate"/>
      </w:r>
      <w:r>
        <w:rPr>
          <w:rFonts w:hint="default" w:ascii="仿宋_GB2312" w:hAnsi="Times New Roman" w:eastAsia="仿宋_GB2312" w:cs="Times New Roman"/>
          <w:kern w:val="44"/>
          <w:sz w:val="28"/>
          <w:szCs w:val="28"/>
          <w:lang w:val="en-US" w:eastAsia="zh-CN"/>
        </w:rPr>
        <w:t>6.1</w:t>
      </w:r>
      <w:r>
        <w:rPr>
          <w:rFonts w:hint="default" w:ascii="仿宋_GB2312" w:hAnsi="Times New Roman" w:eastAsia="仿宋_GB2312" w:cs="Times New Roman"/>
          <w:kern w:val="44"/>
          <w:sz w:val="28"/>
          <w:szCs w:val="28"/>
          <w:lang w:val="zh-CN" w:eastAsia="zh-CN"/>
        </w:rPr>
        <w:t>队伍保障</w:t>
      </w:r>
      <w:r>
        <w:rPr>
          <w:sz w:val="28"/>
          <w:szCs w:val="28"/>
        </w:rPr>
        <w:tab/>
      </w:r>
      <w:r>
        <w:rPr>
          <w:sz w:val="28"/>
          <w:szCs w:val="28"/>
        </w:rPr>
        <w:fldChar w:fldCharType="begin"/>
      </w:r>
      <w:r>
        <w:rPr>
          <w:sz w:val="28"/>
          <w:szCs w:val="28"/>
        </w:rPr>
        <w:instrText xml:space="preserve"> PAGEREF _Toc20023 \h </w:instrText>
      </w:r>
      <w:r>
        <w:rPr>
          <w:sz w:val="28"/>
          <w:szCs w:val="28"/>
        </w:rPr>
        <w:fldChar w:fldCharType="separate"/>
      </w:r>
      <w:r>
        <w:rPr>
          <w:sz w:val="28"/>
          <w:szCs w:val="28"/>
        </w:rPr>
        <w:t>16</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_Toc9046 </w:instrText>
      </w:r>
      <w:r>
        <w:rPr>
          <w:rFonts w:hint="eastAsia" w:ascii="仿宋" w:hAnsi="仿宋" w:eastAsia="仿宋" w:cs="仿宋"/>
          <w:sz w:val="28"/>
          <w:szCs w:val="28"/>
        </w:rPr>
        <w:fldChar w:fldCharType="separate"/>
      </w:r>
      <w:r>
        <w:rPr>
          <w:rFonts w:hint="default" w:ascii="仿宋_GB2312" w:hAnsi="Times New Roman" w:eastAsia="仿宋_GB2312" w:cs="Times New Roman"/>
          <w:kern w:val="44"/>
          <w:sz w:val="28"/>
          <w:szCs w:val="28"/>
          <w:lang w:val="en-US" w:eastAsia="zh-CN"/>
        </w:rPr>
        <w:t>6.2装备物资保障</w:t>
      </w:r>
      <w:r>
        <w:rPr>
          <w:sz w:val="28"/>
          <w:szCs w:val="28"/>
        </w:rPr>
        <w:tab/>
      </w:r>
      <w:r>
        <w:rPr>
          <w:sz w:val="28"/>
          <w:szCs w:val="28"/>
        </w:rPr>
        <w:fldChar w:fldCharType="begin"/>
      </w:r>
      <w:r>
        <w:rPr>
          <w:sz w:val="28"/>
          <w:szCs w:val="28"/>
        </w:rPr>
        <w:instrText xml:space="preserve"> PAGEREF _Toc9046 \h </w:instrText>
      </w:r>
      <w:r>
        <w:rPr>
          <w:sz w:val="28"/>
          <w:szCs w:val="28"/>
        </w:rPr>
        <w:fldChar w:fldCharType="separate"/>
      </w:r>
      <w:r>
        <w:rPr>
          <w:sz w:val="28"/>
          <w:szCs w:val="28"/>
        </w:rPr>
        <w:t>16</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_Toc5988 </w:instrText>
      </w:r>
      <w:r>
        <w:rPr>
          <w:rFonts w:hint="eastAsia" w:ascii="仿宋" w:hAnsi="仿宋" w:eastAsia="仿宋" w:cs="仿宋"/>
          <w:sz w:val="28"/>
          <w:szCs w:val="28"/>
        </w:rPr>
        <w:fldChar w:fldCharType="separate"/>
      </w:r>
      <w:r>
        <w:rPr>
          <w:rFonts w:hint="default" w:ascii="仿宋_GB2312" w:hAnsi="Times New Roman" w:eastAsia="仿宋_GB2312" w:cs="Times New Roman"/>
          <w:kern w:val="44"/>
          <w:sz w:val="28"/>
          <w:szCs w:val="28"/>
          <w:lang w:val="en-US" w:eastAsia="zh-CN"/>
        </w:rPr>
        <w:t>6.3通信、交通与运输保障</w:t>
      </w:r>
      <w:r>
        <w:rPr>
          <w:sz w:val="28"/>
          <w:szCs w:val="28"/>
        </w:rPr>
        <w:tab/>
      </w:r>
      <w:r>
        <w:rPr>
          <w:sz w:val="28"/>
          <w:szCs w:val="28"/>
        </w:rPr>
        <w:fldChar w:fldCharType="begin"/>
      </w:r>
      <w:r>
        <w:rPr>
          <w:sz w:val="28"/>
          <w:szCs w:val="28"/>
        </w:rPr>
        <w:instrText xml:space="preserve"> PAGEREF _Toc5988 \h </w:instrText>
      </w:r>
      <w:r>
        <w:rPr>
          <w:sz w:val="28"/>
          <w:szCs w:val="28"/>
        </w:rPr>
        <w:fldChar w:fldCharType="separate"/>
      </w:r>
      <w:r>
        <w:rPr>
          <w:sz w:val="28"/>
          <w:szCs w:val="28"/>
        </w:rPr>
        <w:t>16</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_Toc23021 </w:instrText>
      </w:r>
      <w:r>
        <w:rPr>
          <w:rFonts w:hint="eastAsia" w:ascii="仿宋" w:hAnsi="仿宋" w:eastAsia="仿宋" w:cs="仿宋"/>
          <w:sz w:val="28"/>
          <w:szCs w:val="28"/>
        </w:rPr>
        <w:fldChar w:fldCharType="separate"/>
      </w:r>
      <w:r>
        <w:rPr>
          <w:rFonts w:hint="default" w:ascii="仿宋_GB2312" w:hAnsi="Times New Roman" w:eastAsia="仿宋_GB2312" w:cs="Times New Roman"/>
          <w:kern w:val="44"/>
          <w:sz w:val="28"/>
          <w:szCs w:val="28"/>
          <w:lang w:val="en-US" w:eastAsia="zh-CN"/>
        </w:rPr>
        <w:t>6.4 技术保障</w:t>
      </w:r>
      <w:r>
        <w:rPr>
          <w:sz w:val="28"/>
          <w:szCs w:val="28"/>
        </w:rPr>
        <w:tab/>
      </w:r>
      <w:r>
        <w:rPr>
          <w:sz w:val="28"/>
          <w:szCs w:val="28"/>
        </w:rPr>
        <w:fldChar w:fldCharType="begin"/>
      </w:r>
      <w:r>
        <w:rPr>
          <w:sz w:val="28"/>
          <w:szCs w:val="28"/>
        </w:rPr>
        <w:instrText xml:space="preserve"> PAGEREF _Toc23021 \h </w:instrText>
      </w:r>
      <w:r>
        <w:rPr>
          <w:sz w:val="28"/>
          <w:szCs w:val="28"/>
        </w:rPr>
        <w:fldChar w:fldCharType="separate"/>
      </w:r>
      <w:r>
        <w:rPr>
          <w:sz w:val="28"/>
          <w:szCs w:val="28"/>
        </w:rPr>
        <w:t>17</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_Toc2919 </w:instrText>
      </w:r>
      <w:r>
        <w:rPr>
          <w:rFonts w:hint="eastAsia" w:ascii="仿宋" w:hAnsi="仿宋" w:eastAsia="仿宋" w:cs="仿宋"/>
          <w:sz w:val="28"/>
          <w:szCs w:val="28"/>
        </w:rPr>
        <w:fldChar w:fldCharType="separate"/>
      </w:r>
      <w:r>
        <w:rPr>
          <w:rFonts w:hint="default" w:ascii="仿宋_GB2312" w:hAnsi="Times New Roman" w:eastAsia="仿宋_GB2312" w:cs="Times New Roman"/>
          <w:kern w:val="44"/>
          <w:sz w:val="28"/>
          <w:szCs w:val="28"/>
          <w:lang w:val="en-US" w:eastAsia="zh-CN"/>
        </w:rPr>
        <w:t>6.5 应急电源保障</w:t>
      </w:r>
      <w:r>
        <w:rPr>
          <w:sz w:val="28"/>
          <w:szCs w:val="28"/>
        </w:rPr>
        <w:tab/>
      </w:r>
      <w:r>
        <w:rPr>
          <w:sz w:val="28"/>
          <w:szCs w:val="28"/>
        </w:rPr>
        <w:fldChar w:fldCharType="begin"/>
      </w:r>
      <w:r>
        <w:rPr>
          <w:sz w:val="28"/>
          <w:szCs w:val="28"/>
        </w:rPr>
        <w:instrText xml:space="preserve"> PAGEREF _Toc2919 \h </w:instrText>
      </w:r>
      <w:r>
        <w:rPr>
          <w:sz w:val="28"/>
          <w:szCs w:val="28"/>
        </w:rPr>
        <w:fldChar w:fldCharType="separate"/>
      </w:r>
      <w:r>
        <w:rPr>
          <w:sz w:val="28"/>
          <w:szCs w:val="28"/>
        </w:rPr>
        <w:t>17</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_Toc19497 </w:instrText>
      </w:r>
      <w:r>
        <w:rPr>
          <w:rFonts w:hint="eastAsia" w:ascii="仿宋" w:hAnsi="仿宋" w:eastAsia="仿宋" w:cs="仿宋"/>
          <w:sz w:val="28"/>
          <w:szCs w:val="28"/>
        </w:rPr>
        <w:fldChar w:fldCharType="separate"/>
      </w:r>
      <w:r>
        <w:rPr>
          <w:rFonts w:hint="default" w:ascii="仿宋_GB2312" w:hAnsi="Times New Roman" w:eastAsia="仿宋_GB2312" w:cs="Times New Roman"/>
          <w:kern w:val="44"/>
          <w:sz w:val="28"/>
          <w:szCs w:val="28"/>
          <w:lang w:val="en-US" w:eastAsia="zh-CN"/>
        </w:rPr>
        <w:t>6.6 资金保障</w:t>
      </w:r>
      <w:r>
        <w:rPr>
          <w:sz w:val="28"/>
          <w:szCs w:val="28"/>
        </w:rPr>
        <w:tab/>
      </w:r>
      <w:r>
        <w:rPr>
          <w:sz w:val="28"/>
          <w:szCs w:val="28"/>
        </w:rPr>
        <w:fldChar w:fldCharType="begin"/>
      </w:r>
      <w:r>
        <w:rPr>
          <w:sz w:val="28"/>
          <w:szCs w:val="28"/>
        </w:rPr>
        <w:instrText xml:space="preserve"> PAGEREF _Toc19497 \h </w:instrText>
      </w:r>
      <w:r>
        <w:rPr>
          <w:sz w:val="28"/>
          <w:szCs w:val="28"/>
        </w:rPr>
        <w:fldChar w:fldCharType="separate"/>
      </w:r>
      <w:r>
        <w:rPr>
          <w:sz w:val="28"/>
          <w:szCs w:val="28"/>
        </w:rPr>
        <w:t>17</w:t>
      </w:r>
      <w:r>
        <w:rPr>
          <w:sz w:val="28"/>
          <w:szCs w:val="28"/>
        </w:rPr>
        <w:fldChar w:fldCharType="end"/>
      </w:r>
      <w:r>
        <w:rPr>
          <w:rFonts w:hint="eastAsia" w:ascii="仿宋" w:hAnsi="仿宋" w:eastAsia="仿宋" w:cs="仿宋"/>
          <w:sz w:val="28"/>
          <w:szCs w:val="28"/>
        </w:rPr>
        <w:fldChar w:fldCharType="end"/>
      </w:r>
    </w:p>
    <w:p>
      <w:pPr>
        <w:pStyle w:val="5"/>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_Toc2306 </w:instrText>
      </w:r>
      <w:r>
        <w:rPr>
          <w:rFonts w:hint="eastAsia" w:ascii="仿宋" w:hAnsi="仿宋" w:eastAsia="仿宋" w:cs="仿宋"/>
          <w:sz w:val="28"/>
          <w:szCs w:val="28"/>
        </w:rPr>
        <w:fldChar w:fldCharType="separate"/>
      </w:r>
      <w:r>
        <w:rPr>
          <w:rFonts w:hint="default" w:ascii="黑体" w:hAnsi="黑体" w:cs="Times New Roman"/>
          <w:sz w:val="28"/>
          <w:szCs w:val="28"/>
          <w:lang w:val="en-US" w:eastAsia="zh-CN"/>
        </w:rPr>
        <w:t>7 宣传、培训和演练</w:t>
      </w:r>
      <w:r>
        <w:rPr>
          <w:sz w:val="28"/>
          <w:szCs w:val="28"/>
        </w:rPr>
        <w:tab/>
      </w:r>
      <w:r>
        <w:rPr>
          <w:sz w:val="28"/>
          <w:szCs w:val="28"/>
        </w:rPr>
        <w:fldChar w:fldCharType="begin"/>
      </w:r>
      <w:r>
        <w:rPr>
          <w:sz w:val="28"/>
          <w:szCs w:val="28"/>
        </w:rPr>
        <w:instrText xml:space="preserve"> PAGEREF _Toc2306 \h </w:instrText>
      </w:r>
      <w:r>
        <w:rPr>
          <w:sz w:val="28"/>
          <w:szCs w:val="28"/>
        </w:rPr>
        <w:fldChar w:fldCharType="separate"/>
      </w:r>
      <w:r>
        <w:rPr>
          <w:sz w:val="28"/>
          <w:szCs w:val="28"/>
        </w:rPr>
        <w:t>17</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_Toc6407 </w:instrText>
      </w:r>
      <w:r>
        <w:rPr>
          <w:rFonts w:hint="eastAsia" w:ascii="仿宋" w:hAnsi="仿宋" w:eastAsia="仿宋" w:cs="仿宋"/>
          <w:sz w:val="28"/>
          <w:szCs w:val="28"/>
        </w:rPr>
        <w:fldChar w:fldCharType="separate"/>
      </w:r>
      <w:r>
        <w:rPr>
          <w:rFonts w:hint="default" w:ascii="仿宋_GB2312" w:hAnsi="Times New Roman" w:eastAsia="仿宋_GB2312" w:cs="Times New Roman"/>
          <w:kern w:val="44"/>
          <w:sz w:val="28"/>
          <w:szCs w:val="28"/>
          <w:lang w:val="en-US" w:eastAsia="zh-CN"/>
        </w:rPr>
        <w:t>7.1 宣传</w:t>
      </w:r>
      <w:r>
        <w:rPr>
          <w:sz w:val="28"/>
          <w:szCs w:val="28"/>
        </w:rPr>
        <w:tab/>
      </w:r>
      <w:r>
        <w:rPr>
          <w:sz w:val="28"/>
          <w:szCs w:val="28"/>
        </w:rPr>
        <w:fldChar w:fldCharType="begin"/>
      </w:r>
      <w:r>
        <w:rPr>
          <w:sz w:val="28"/>
          <w:szCs w:val="28"/>
        </w:rPr>
        <w:instrText xml:space="preserve"> PAGEREF _Toc6407 \h </w:instrText>
      </w:r>
      <w:r>
        <w:rPr>
          <w:sz w:val="28"/>
          <w:szCs w:val="28"/>
        </w:rPr>
        <w:fldChar w:fldCharType="separate"/>
      </w:r>
      <w:r>
        <w:rPr>
          <w:sz w:val="28"/>
          <w:szCs w:val="28"/>
        </w:rPr>
        <w:t>17</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_Toc2427 </w:instrText>
      </w:r>
      <w:r>
        <w:rPr>
          <w:rFonts w:hint="eastAsia" w:ascii="仿宋" w:hAnsi="仿宋" w:eastAsia="仿宋" w:cs="仿宋"/>
          <w:sz w:val="28"/>
          <w:szCs w:val="28"/>
        </w:rPr>
        <w:fldChar w:fldCharType="separate"/>
      </w:r>
      <w:r>
        <w:rPr>
          <w:rFonts w:hint="default" w:ascii="仿宋_GB2312" w:hAnsi="Times New Roman" w:eastAsia="仿宋_GB2312" w:cs="Times New Roman"/>
          <w:kern w:val="44"/>
          <w:sz w:val="28"/>
          <w:szCs w:val="28"/>
          <w:lang w:val="en-US" w:eastAsia="zh-CN"/>
        </w:rPr>
        <w:t>7.2 培训</w:t>
      </w:r>
      <w:r>
        <w:rPr>
          <w:sz w:val="28"/>
          <w:szCs w:val="28"/>
        </w:rPr>
        <w:tab/>
      </w:r>
      <w:r>
        <w:rPr>
          <w:sz w:val="28"/>
          <w:szCs w:val="28"/>
        </w:rPr>
        <w:fldChar w:fldCharType="begin"/>
      </w:r>
      <w:r>
        <w:rPr>
          <w:sz w:val="28"/>
          <w:szCs w:val="28"/>
        </w:rPr>
        <w:instrText xml:space="preserve"> PAGEREF _Toc2427 \h </w:instrText>
      </w:r>
      <w:r>
        <w:rPr>
          <w:sz w:val="28"/>
          <w:szCs w:val="28"/>
        </w:rPr>
        <w:fldChar w:fldCharType="separate"/>
      </w:r>
      <w:r>
        <w:rPr>
          <w:sz w:val="28"/>
          <w:szCs w:val="28"/>
        </w:rPr>
        <w:t>18</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_Toc14856 </w:instrText>
      </w:r>
      <w:r>
        <w:rPr>
          <w:rFonts w:hint="eastAsia" w:ascii="仿宋" w:hAnsi="仿宋" w:eastAsia="仿宋" w:cs="仿宋"/>
          <w:sz w:val="28"/>
          <w:szCs w:val="28"/>
        </w:rPr>
        <w:fldChar w:fldCharType="separate"/>
      </w:r>
      <w:r>
        <w:rPr>
          <w:rFonts w:hint="default" w:ascii="仿宋_GB2312" w:hAnsi="Times New Roman" w:eastAsia="仿宋_GB2312" w:cs="Times New Roman"/>
          <w:kern w:val="44"/>
          <w:sz w:val="28"/>
          <w:szCs w:val="28"/>
          <w:lang w:val="en-US" w:eastAsia="zh-CN"/>
        </w:rPr>
        <w:t>7.3 演练</w:t>
      </w:r>
      <w:r>
        <w:rPr>
          <w:sz w:val="28"/>
          <w:szCs w:val="28"/>
        </w:rPr>
        <w:tab/>
      </w:r>
      <w:r>
        <w:rPr>
          <w:sz w:val="28"/>
          <w:szCs w:val="28"/>
        </w:rPr>
        <w:fldChar w:fldCharType="begin"/>
      </w:r>
      <w:r>
        <w:rPr>
          <w:sz w:val="28"/>
          <w:szCs w:val="28"/>
        </w:rPr>
        <w:instrText xml:space="preserve"> PAGEREF _Toc14856 \h </w:instrText>
      </w:r>
      <w:r>
        <w:rPr>
          <w:sz w:val="28"/>
          <w:szCs w:val="28"/>
        </w:rPr>
        <w:fldChar w:fldCharType="separate"/>
      </w:r>
      <w:r>
        <w:rPr>
          <w:sz w:val="28"/>
          <w:szCs w:val="28"/>
        </w:rPr>
        <w:t>18</w:t>
      </w:r>
      <w:r>
        <w:rPr>
          <w:sz w:val="28"/>
          <w:szCs w:val="28"/>
        </w:rPr>
        <w:fldChar w:fldCharType="end"/>
      </w:r>
      <w:r>
        <w:rPr>
          <w:rFonts w:hint="eastAsia" w:ascii="仿宋" w:hAnsi="仿宋" w:eastAsia="仿宋" w:cs="仿宋"/>
          <w:sz w:val="28"/>
          <w:szCs w:val="28"/>
        </w:rPr>
        <w:fldChar w:fldCharType="end"/>
      </w:r>
    </w:p>
    <w:p>
      <w:pPr>
        <w:pStyle w:val="5"/>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_Toc14420 </w:instrText>
      </w:r>
      <w:r>
        <w:rPr>
          <w:rFonts w:hint="eastAsia" w:ascii="仿宋" w:hAnsi="仿宋" w:eastAsia="仿宋" w:cs="仿宋"/>
          <w:sz w:val="28"/>
          <w:szCs w:val="28"/>
        </w:rPr>
        <w:fldChar w:fldCharType="separate"/>
      </w:r>
      <w:r>
        <w:rPr>
          <w:rFonts w:hint="default" w:ascii="黑体" w:hAnsi="黑体" w:cs="Times New Roman"/>
          <w:sz w:val="28"/>
          <w:szCs w:val="28"/>
          <w:lang w:val="en-US" w:eastAsia="zh-CN"/>
        </w:rPr>
        <w:t>8 附则</w:t>
      </w:r>
      <w:r>
        <w:rPr>
          <w:sz w:val="28"/>
          <w:szCs w:val="28"/>
        </w:rPr>
        <w:tab/>
      </w:r>
      <w:r>
        <w:rPr>
          <w:sz w:val="28"/>
          <w:szCs w:val="28"/>
        </w:rPr>
        <w:fldChar w:fldCharType="begin"/>
      </w:r>
      <w:r>
        <w:rPr>
          <w:sz w:val="28"/>
          <w:szCs w:val="28"/>
        </w:rPr>
        <w:instrText xml:space="preserve"> PAGEREF _Toc14420 \h </w:instrText>
      </w:r>
      <w:r>
        <w:rPr>
          <w:sz w:val="28"/>
          <w:szCs w:val="28"/>
        </w:rPr>
        <w:fldChar w:fldCharType="separate"/>
      </w:r>
      <w:r>
        <w:rPr>
          <w:sz w:val="28"/>
          <w:szCs w:val="28"/>
        </w:rPr>
        <w:t>18</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_Toc3207 </w:instrText>
      </w:r>
      <w:r>
        <w:rPr>
          <w:rFonts w:hint="eastAsia" w:ascii="仿宋" w:hAnsi="仿宋" w:eastAsia="仿宋" w:cs="仿宋"/>
          <w:sz w:val="28"/>
          <w:szCs w:val="28"/>
        </w:rPr>
        <w:fldChar w:fldCharType="separate"/>
      </w:r>
      <w:r>
        <w:rPr>
          <w:rFonts w:hint="default" w:ascii="仿宋_GB2312" w:hAnsi="Times New Roman" w:eastAsia="仿宋_GB2312" w:cs="Times New Roman"/>
          <w:kern w:val="44"/>
          <w:sz w:val="28"/>
          <w:szCs w:val="28"/>
          <w:lang w:val="en-US" w:eastAsia="zh-CN"/>
        </w:rPr>
        <w:t>8.1 预案管理</w:t>
      </w:r>
      <w:r>
        <w:rPr>
          <w:sz w:val="28"/>
          <w:szCs w:val="28"/>
        </w:rPr>
        <w:tab/>
      </w:r>
      <w:r>
        <w:rPr>
          <w:sz w:val="28"/>
          <w:szCs w:val="28"/>
        </w:rPr>
        <w:fldChar w:fldCharType="begin"/>
      </w:r>
      <w:r>
        <w:rPr>
          <w:sz w:val="28"/>
          <w:szCs w:val="28"/>
        </w:rPr>
        <w:instrText xml:space="preserve"> PAGEREF _Toc3207 \h </w:instrText>
      </w:r>
      <w:r>
        <w:rPr>
          <w:sz w:val="28"/>
          <w:szCs w:val="28"/>
        </w:rPr>
        <w:fldChar w:fldCharType="separate"/>
      </w:r>
      <w:r>
        <w:rPr>
          <w:sz w:val="28"/>
          <w:szCs w:val="28"/>
        </w:rPr>
        <w:t>18</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_Toc26072 </w:instrText>
      </w:r>
      <w:r>
        <w:rPr>
          <w:rFonts w:hint="eastAsia" w:ascii="仿宋" w:hAnsi="仿宋" w:eastAsia="仿宋" w:cs="仿宋"/>
          <w:sz w:val="28"/>
          <w:szCs w:val="28"/>
        </w:rPr>
        <w:fldChar w:fldCharType="separate"/>
      </w:r>
      <w:r>
        <w:rPr>
          <w:rFonts w:hint="default" w:ascii="仿宋_GB2312" w:hAnsi="Times New Roman" w:eastAsia="仿宋_GB2312" w:cs="Times New Roman"/>
          <w:kern w:val="44"/>
          <w:sz w:val="28"/>
          <w:szCs w:val="28"/>
          <w:lang w:val="en-US" w:eastAsia="zh-CN"/>
        </w:rPr>
        <w:t>8.2 预案解释</w:t>
      </w:r>
      <w:r>
        <w:rPr>
          <w:sz w:val="28"/>
          <w:szCs w:val="28"/>
        </w:rPr>
        <w:tab/>
      </w:r>
      <w:r>
        <w:rPr>
          <w:sz w:val="28"/>
          <w:szCs w:val="28"/>
        </w:rPr>
        <w:fldChar w:fldCharType="begin"/>
      </w:r>
      <w:r>
        <w:rPr>
          <w:sz w:val="28"/>
          <w:szCs w:val="28"/>
        </w:rPr>
        <w:instrText xml:space="preserve"> PAGEREF _Toc26072 \h </w:instrText>
      </w:r>
      <w:r>
        <w:rPr>
          <w:sz w:val="28"/>
          <w:szCs w:val="28"/>
        </w:rPr>
        <w:fldChar w:fldCharType="separate"/>
      </w:r>
      <w:r>
        <w:rPr>
          <w:sz w:val="28"/>
          <w:szCs w:val="28"/>
        </w:rPr>
        <w:t>18</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_Toc20117 </w:instrText>
      </w:r>
      <w:r>
        <w:rPr>
          <w:rFonts w:hint="eastAsia" w:ascii="仿宋" w:hAnsi="仿宋" w:eastAsia="仿宋" w:cs="仿宋"/>
          <w:sz w:val="28"/>
          <w:szCs w:val="28"/>
        </w:rPr>
        <w:fldChar w:fldCharType="separate"/>
      </w:r>
      <w:r>
        <w:rPr>
          <w:rFonts w:hint="default" w:ascii="仿宋_GB2312" w:hAnsi="Times New Roman" w:eastAsia="仿宋_GB2312" w:cs="Times New Roman"/>
          <w:kern w:val="44"/>
          <w:sz w:val="28"/>
          <w:szCs w:val="28"/>
          <w:lang w:val="en-US" w:eastAsia="zh-CN"/>
        </w:rPr>
        <w:t>8.3 预案实施</w:t>
      </w:r>
      <w:r>
        <w:rPr>
          <w:sz w:val="28"/>
          <w:szCs w:val="28"/>
        </w:rPr>
        <w:tab/>
      </w:r>
      <w:r>
        <w:rPr>
          <w:sz w:val="28"/>
          <w:szCs w:val="28"/>
        </w:rPr>
        <w:fldChar w:fldCharType="begin"/>
      </w:r>
      <w:r>
        <w:rPr>
          <w:sz w:val="28"/>
          <w:szCs w:val="28"/>
        </w:rPr>
        <w:instrText xml:space="preserve"> PAGEREF _Toc20117 \h </w:instrText>
      </w:r>
      <w:r>
        <w:rPr>
          <w:sz w:val="28"/>
          <w:szCs w:val="28"/>
        </w:rPr>
        <w:fldChar w:fldCharType="separate"/>
      </w:r>
      <w:r>
        <w:rPr>
          <w:sz w:val="28"/>
          <w:szCs w:val="28"/>
        </w:rPr>
        <w:t>19</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_Toc4863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en-US"/>
        </w:rPr>
        <w:t>附件</w:t>
      </w:r>
      <w:r>
        <w:rPr>
          <w:rFonts w:hint="eastAsia" w:ascii="仿宋" w:hAnsi="仿宋" w:eastAsia="仿宋" w:cs="仿宋"/>
          <w:kern w:val="44"/>
          <w:sz w:val="28"/>
          <w:szCs w:val="28"/>
          <w:lang w:val="en-US" w:eastAsia="zh-CN"/>
        </w:rPr>
        <w:t>1：</w:t>
      </w:r>
      <w:r>
        <w:rPr>
          <w:rFonts w:hint="eastAsia" w:ascii="仿宋" w:hAnsi="仿宋" w:eastAsia="仿宋" w:cs="仿宋"/>
          <w:kern w:val="44"/>
          <w:sz w:val="28"/>
          <w:szCs w:val="28"/>
          <w:lang w:val="en-US"/>
        </w:rPr>
        <w:t>大面积停电事件分级标准</w:t>
      </w:r>
      <w:r>
        <w:rPr>
          <w:sz w:val="28"/>
          <w:szCs w:val="28"/>
        </w:rPr>
        <w:tab/>
      </w:r>
      <w:r>
        <w:rPr>
          <w:sz w:val="28"/>
          <w:szCs w:val="28"/>
        </w:rPr>
        <w:fldChar w:fldCharType="begin"/>
      </w:r>
      <w:r>
        <w:rPr>
          <w:sz w:val="28"/>
          <w:szCs w:val="28"/>
        </w:rPr>
        <w:instrText xml:space="preserve"> PAGEREF _Toc4863 \h </w:instrText>
      </w:r>
      <w:r>
        <w:rPr>
          <w:sz w:val="28"/>
          <w:szCs w:val="28"/>
        </w:rPr>
        <w:fldChar w:fldCharType="separate"/>
      </w:r>
      <w:r>
        <w:rPr>
          <w:sz w:val="28"/>
          <w:szCs w:val="28"/>
        </w:rPr>
        <w:t>20</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_Toc29645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en-US"/>
        </w:rPr>
        <w:t>附件</w:t>
      </w:r>
      <w:r>
        <w:rPr>
          <w:rFonts w:hint="eastAsia" w:ascii="仿宋" w:hAnsi="仿宋" w:eastAsia="仿宋" w:cs="仿宋"/>
          <w:kern w:val="44"/>
          <w:sz w:val="28"/>
          <w:szCs w:val="28"/>
          <w:lang w:val="en-US" w:eastAsia="zh-CN"/>
        </w:rPr>
        <w:t>2：吴忠市</w:t>
      </w:r>
      <w:r>
        <w:rPr>
          <w:rFonts w:hint="eastAsia" w:ascii="仿宋" w:hAnsi="仿宋" w:eastAsia="仿宋" w:cs="仿宋"/>
          <w:kern w:val="44"/>
          <w:sz w:val="28"/>
          <w:szCs w:val="28"/>
          <w:lang w:val="en-US"/>
        </w:rPr>
        <w:t>大面积停电事件应急响应流程图</w:t>
      </w:r>
      <w:r>
        <w:rPr>
          <w:sz w:val="28"/>
          <w:szCs w:val="28"/>
        </w:rPr>
        <w:tab/>
      </w:r>
      <w:r>
        <w:rPr>
          <w:sz w:val="28"/>
          <w:szCs w:val="28"/>
        </w:rPr>
        <w:fldChar w:fldCharType="begin"/>
      </w:r>
      <w:r>
        <w:rPr>
          <w:sz w:val="28"/>
          <w:szCs w:val="28"/>
        </w:rPr>
        <w:instrText xml:space="preserve"> PAGEREF _Toc29645 \h </w:instrText>
      </w:r>
      <w:r>
        <w:rPr>
          <w:sz w:val="28"/>
          <w:szCs w:val="28"/>
        </w:rPr>
        <w:fldChar w:fldCharType="separate"/>
      </w:r>
      <w:r>
        <w:rPr>
          <w:sz w:val="28"/>
          <w:szCs w:val="28"/>
        </w:rPr>
        <w:t>22</w:t>
      </w:r>
      <w:r>
        <w:rPr>
          <w:sz w:val="28"/>
          <w:szCs w:val="28"/>
        </w:rPr>
        <w:fldChar w:fldCharType="end"/>
      </w:r>
      <w:r>
        <w:rPr>
          <w:rFonts w:hint="eastAsia" w:ascii="仿宋" w:hAnsi="仿宋" w:eastAsia="仿宋" w:cs="仿宋"/>
          <w:sz w:val="28"/>
          <w:szCs w:val="28"/>
        </w:rPr>
        <w:fldChar w:fldCharType="end"/>
      </w:r>
    </w:p>
    <w:p>
      <w:pPr>
        <w:pStyle w:val="7"/>
        <w:tabs>
          <w:tab w:val="right" w:leader="dot" w:pos="854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_Toc2418 </w:instrText>
      </w:r>
      <w:r>
        <w:rPr>
          <w:rFonts w:hint="eastAsia" w:ascii="仿宋" w:hAnsi="仿宋" w:eastAsia="仿宋" w:cs="仿宋"/>
          <w:sz w:val="28"/>
          <w:szCs w:val="28"/>
        </w:rPr>
        <w:fldChar w:fldCharType="separate"/>
      </w:r>
      <w:r>
        <w:rPr>
          <w:rFonts w:hint="eastAsia" w:ascii="仿宋_GB2312" w:hAnsi="Times New Roman" w:eastAsia="仿宋_GB2312" w:cs="Times New Roman"/>
          <w:kern w:val="44"/>
          <w:sz w:val="28"/>
          <w:szCs w:val="28"/>
          <w:lang w:val="en-US" w:eastAsia="zh-CN"/>
        </w:rPr>
        <w:t>附件3：吴忠</w:t>
      </w:r>
      <w:r>
        <w:rPr>
          <w:rFonts w:hint="default" w:ascii="仿宋_GB2312" w:hAnsi="Times New Roman" w:eastAsia="仿宋_GB2312" w:cs="Times New Roman"/>
          <w:kern w:val="44"/>
          <w:sz w:val="28"/>
          <w:szCs w:val="28"/>
          <w:lang w:val="en-US" w:eastAsia="zh-CN"/>
        </w:rPr>
        <w:t>市大面积停电事件应急指挥部</w:t>
      </w:r>
      <w:r>
        <w:rPr>
          <w:rFonts w:hint="eastAsia" w:ascii="仿宋_GB2312" w:hAnsi="Times New Roman" w:eastAsia="仿宋_GB2312" w:cs="Times New Roman"/>
          <w:kern w:val="44"/>
          <w:sz w:val="28"/>
          <w:szCs w:val="28"/>
          <w:lang w:val="en-US" w:eastAsia="zh-CN"/>
        </w:rPr>
        <w:t>各成员单位</w:t>
      </w:r>
      <w:r>
        <w:rPr>
          <w:rFonts w:hint="default" w:ascii="仿宋_GB2312" w:hAnsi="Times New Roman" w:eastAsia="仿宋_GB2312" w:cs="Times New Roman"/>
          <w:kern w:val="44"/>
          <w:sz w:val="28"/>
          <w:szCs w:val="28"/>
          <w:lang w:val="en-US" w:eastAsia="zh-CN"/>
        </w:rPr>
        <w:t>职责</w:t>
      </w:r>
      <w:r>
        <w:rPr>
          <w:sz w:val="28"/>
          <w:szCs w:val="28"/>
        </w:rPr>
        <w:tab/>
      </w:r>
      <w:r>
        <w:rPr>
          <w:sz w:val="28"/>
          <w:szCs w:val="28"/>
        </w:rPr>
        <w:fldChar w:fldCharType="begin"/>
      </w:r>
      <w:r>
        <w:rPr>
          <w:sz w:val="28"/>
          <w:szCs w:val="28"/>
        </w:rPr>
        <w:instrText xml:space="preserve"> PAGEREF _Toc2418 \h </w:instrText>
      </w:r>
      <w:r>
        <w:rPr>
          <w:sz w:val="28"/>
          <w:szCs w:val="28"/>
        </w:rPr>
        <w:fldChar w:fldCharType="separate"/>
      </w:r>
      <w:r>
        <w:rPr>
          <w:sz w:val="28"/>
          <w:szCs w:val="28"/>
        </w:rPr>
        <w:t>24</w:t>
      </w:r>
      <w:r>
        <w:rPr>
          <w:sz w:val="28"/>
          <w:szCs w:val="28"/>
        </w:rPr>
        <w:fldChar w:fldCharType="end"/>
      </w:r>
      <w:r>
        <w:rPr>
          <w:rFonts w:hint="eastAsia" w:ascii="仿宋" w:hAnsi="仿宋" w:eastAsia="仿宋" w:cs="仿宋"/>
          <w:sz w:val="28"/>
          <w:szCs w:val="28"/>
        </w:rPr>
        <w:fldChar w:fldCharType="end"/>
      </w:r>
    </w:p>
    <w:p>
      <w:pPr>
        <w:spacing w:before="0" w:after="0" w:line="200" w:lineRule="exact"/>
        <w:jc w:val="left"/>
        <w:rPr>
          <w:sz w:val="28"/>
          <w:szCs w:val="28"/>
        </w:rPr>
      </w:pPr>
      <w:r>
        <w:rPr>
          <w:rFonts w:hint="eastAsia" w:ascii="仿宋" w:hAnsi="仿宋" w:eastAsia="仿宋" w:cs="仿宋"/>
          <w:sz w:val="28"/>
          <w:szCs w:val="28"/>
        </w:rPr>
        <w:fldChar w:fldCharType="end"/>
      </w:r>
    </w:p>
    <w:p>
      <w:pPr>
        <w:spacing w:before="10" w:after="0" w:line="240" w:lineRule="exact"/>
        <w:jc w:val="left"/>
        <w:rPr>
          <w:sz w:val="24"/>
          <w:szCs w:val="24"/>
        </w:rPr>
      </w:pPr>
    </w:p>
    <w:p>
      <w:pPr>
        <w:spacing w:before="49" w:after="0" w:line="240" w:lineRule="auto"/>
        <w:ind w:left="379" w:right="-20"/>
        <w:jc w:val="left"/>
        <w:rPr>
          <w:rFonts w:ascii="Microsoft JhengHei" w:hAnsi="Microsoft JhengHei" w:eastAsia="Microsoft JhengHei" w:cs="Microsoft JhengHei"/>
          <w:sz w:val="32"/>
          <w:szCs w:val="32"/>
        </w:rPr>
      </w:pPr>
    </w:p>
    <w:p>
      <w:pPr>
        <w:spacing w:after="0" w:line="240" w:lineRule="auto"/>
        <w:jc w:val="left"/>
        <w:rPr>
          <w:rFonts w:ascii="Microsoft JhengHei" w:hAnsi="Microsoft JhengHei" w:eastAsia="Microsoft JhengHei" w:cs="Microsoft JhengHei"/>
          <w:sz w:val="32"/>
          <w:szCs w:val="32"/>
        </w:rPr>
        <w:sectPr>
          <w:pgSz w:w="11900" w:h="16840"/>
          <w:pgMar w:top="1580" w:right="1680" w:bottom="1640" w:left="1680" w:header="0" w:footer="1444" w:gutter="0"/>
          <w:cols w:space="720" w:num="1"/>
        </w:sectPr>
      </w:pPr>
    </w:p>
    <w:p>
      <w:pPr>
        <w:pStyle w:val="2"/>
        <w:keepNext w:val="0"/>
        <w:keepLines w:val="0"/>
        <w:spacing w:before="78" w:beforeLines="25" w:after="78" w:afterLines="25"/>
        <w:ind w:firstLine="642" w:firstLineChars="200"/>
        <w:rPr>
          <w:rFonts w:hint="eastAsia" w:ascii="黑体" w:hAnsi="黑体" w:cs="Times New Roman"/>
          <w:b/>
          <w:color w:val="auto"/>
          <w:sz w:val="32"/>
          <w:szCs w:val="22"/>
          <w:lang w:val="zh-CN"/>
        </w:rPr>
      </w:pPr>
      <w:bookmarkStart w:id="0" w:name="_Toc12926"/>
      <w:r>
        <w:rPr>
          <w:rFonts w:hint="eastAsia" w:ascii="黑体" w:hAnsi="黑体" w:cs="Times New Roman"/>
          <w:b/>
          <w:color w:val="auto"/>
          <w:sz w:val="32"/>
          <w:szCs w:val="22"/>
          <w:lang w:val="zh-CN"/>
        </w:rPr>
        <w:t>1总则</w:t>
      </w:r>
      <w:bookmarkEnd w:id="0"/>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zh-CN"/>
        </w:rPr>
      </w:pPr>
      <w:bookmarkStart w:id="1" w:name="_Toc26007"/>
      <w:r>
        <w:rPr>
          <w:rFonts w:hint="eastAsia" w:ascii="仿宋_GB2312" w:hAnsi="Times New Roman" w:eastAsia="仿宋_GB2312" w:cs="Times New Roman"/>
          <w:b/>
          <w:color w:val="auto"/>
          <w:kern w:val="44"/>
          <w:sz w:val="32"/>
          <w:szCs w:val="22"/>
          <w:lang w:val="zh-CN"/>
        </w:rPr>
        <w:t>1.1编制目的</w:t>
      </w:r>
      <w:bookmarkEnd w:id="1"/>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eastAsia="zh-CN"/>
        </w:rPr>
      </w:pPr>
      <w:r>
        <w:rPr>
          <w:rFonts w:hint="eastAsia" w:ascii="仿宋_GB2312" w:hAnsi="Times New Roman" w:eastAsia="仿宋_GB2312" w:cs="Times New Roman"/>
          <w:color w:val="auto"/>
          <w:sz w:val="32"/>
          <w:szCs w:val="22"/>
        </w:rPr>
        <w:t>正确</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高效</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有序地处置大面积停电事件</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建立健全大面积停电事件应对工作机制</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提高应对效率</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最大程度减少停电事件造成的损失和影响</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维护</w:t>
      </w:r>
      <w:r>
        <w:rPr>
          <w:rFonts w:hint="eastAsia" w:ascii="仿宋_GB2312" w:hAnsi="Times New Roman" w:eastAsia="仿宋_GB2312" w:cs="Times New Roman"/>
          <w:color w:val="auto"/>
          <w:sz w:val="32"/>
          <w:szCs w:val="22"/>
          <w:lang w:eastAsia="zh-CN"/>
        </w:rPr>
        <w:t>吴忠</w:t>
      </w:r>
      <w:r>
        <w:rPr>
          <w:rFonts w:hint="eastAsia" w:ascii="仿宋_GB2312" w:hAnsi="Times New Roman" w:eastAsia="仿宋_GB2312" w:cs="Times New Roman"/>
          <w:color w:val="auto"/>
          <w:sz w:val="32"/>
          <w:szCs w:val="22"/>
        </w:rPr>
        <w:t>地区安全</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社会稳定和人民群众生命财产安全</w:t>
      </w:r>
      <w:r>
        <w:rPr>
          <w:rFonts w:hint="eastAsia" w:ascii="仿宋_GB2312" w:hAnsi="Times New Roman" w:eastAsia="仿宋_GB2312" w:cs="Times New Roman"/>
          <w:color w:val="auto"/>
          <w:sz w:val="32"/>
          <w:szCs w:val="22"/>
          <w:lang w:eastAsia="zh-CN"/>
        </w:rPr>
        <w:t>。</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zh-CN"/>
        </w:rPr>
      </w:pPr>
      <w:bookmarkStart w:id="2" w:name="_Toc2640"/>
      <w:r>
        <w:rPr>
          <w:rFonts w:hint="eastAsia" w:ascii="仿宋_GB2312" w:hAnsi="Times New Roman" w:eastAsia="仿宋_GB2312" w:cs="Times New Roman"/>
          <w:b/>
          <w:color w:val="auto"/>
          <w:kern w:val="44"/>
          <w:sz w:val="32"/>
          <w:szCs w:val="22"/>
          <w:lang w:val="zh-CN"/>
        </w:rPr>
        <w:t>1.2编制依据</w:t>
      </w:r>
      <w:bookmarkEnd w:id="2"/>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eastAsia="zh-CN"/>
        </w:rPr>
      </w:pPr>
      <w:r>
        <w:rPr>
          <w:rFonts w:hint="eastAsia" w:ascii="仿宋_GB2312" w:hAnsi="Times New Roman" w:eastAsia="仿宋_GB2312" w:cs="Times New Roman"/>
          <w:color w:val="auto"/>
          <w:sz w:val="32"/>
          <w:szCs w:val="22"/>
          <w:lang w:val="en-US" w:eastAsia="zh-CN"/>
        </w:rPr>
        <w:t>依据《中华人民共和国突发事件应对法》《中华人民共和国安全生产法》《中华人民共和国电力法》《生产安全事故报告和调查处理条例》(国务院令第493</w:t>
      </w:r>
      <w:r>
        <w:rPr>
          <w:rFonts w:hint="default" w:ascii="仿宋_GB2312" w:hAnsi="Times New Roman" w:eastAsia="仿宋_GB2312" w:cs="Times New Roman"/>
          <w:color w:val="auto"/>
          <w:sz w:val="32"/>
          <w:szCs w:val="22"/>
          <w:lang w:val="en-US" w:eastAsia="zh-CN"/>
        </w:rPr>
        <w:t>号)</w:t>
      </w:r>
      <w:r>
        <w:rPr>
          <w:rFonts w:hint="eastAsia" w:ascii="仿宋_GB2312" w:hAnsi="Times New Roman" w:eastAsia="仿宋_GB2312" w:cs="Times New Roman"/>
          <w:color w:val="auto"/>
          <w:sz w:val="32"/>
          <w:szCs w:val="22"/>
          <w:lang w:val="en-US" w:eastAsia="zh-CN"/>
        </w:rPr>
        <w:t>《电力安全事故应急处置和调查处理条例》(国务院令第599</w:t>
      </w:r>
      <w:r>
        <w:rPr>
          <w:rFonts w:hint="default" w:ascii="仿宋_GB2312" w:hAnsi="Times New Roman" w:eastAsia="仿宋_GB2312" w:cs="Times New Roman"/>
          <w:color w:val="auto"/>
          <w:sz w:val="32"/>
          <w:szCs w:val="22"/>
          <w:lang w:val="en-US" w:eastAsia="zh-CN"/>
        </w:rPr>
        <w:t>号)</w:t>
      </w:r>
      <w:r>
        <w:rPr>
          <w:rFonts w:hint="eastAsia" w:ascii="仿宋_GB2312" w:hAnsi="Times New Roman" w:eastAsia="仿宋_GB2312" w:cs="Times New Roman"/>
          <w:color w:val="auto"/>
          <w:sz w:val="32"/>
          <w:szCs w:val="22"/>
          <w:lang w:val="en-US" w:eastAsia="zh-CN"/>
        </w:rPr>
        <w:t>《电网调度管理条例》</w:t>
      </w:r>
      <w:r>
        <w:rPr>
          <w:rFonts w:hint="default" w:ascii="仿宋_GB2312" w:hAnsi="Times New Roman" w:eastAsia="仿宋_GB2312" w:cs="Times New Roman"/>
          <w:color w:val="auto"/>
          <w:sz w:val="32"/>
          <w:szCs w:val="22"/>
          <w:lang w:val="en-US" w:eastAsia="zh-CN"/>
        </w:rPr>
        <w:t>(国务院令第</w:t>
      </w:r>
      <w:r>
        <w:rPr>
          <w:rFonts w:hint="eastAsia" w:ascii="仿宋_GB2312" w:hAnsi="Times New Roman" w:eastAsia="仿宋_GB2312" w:cs="Times New Roman"/>
          <w:color w:val="auto"/>
          <w:sz w:val="32"/>
          <w:szCs w:val="22"/>
          <w:lang w:val="en-US" w:eastAsia="zh-CN"/>
        </w:rPr>
        <w:t>115</w:t>
      </w:r>
      <w:r>
        <w:rPr>
          <w:rFonts w:hint="default" w:ascii="仿宋_GB2312" w:hAnsi="Times New Roman" w:eastAsia="仿宋_GB2312" w:cs="Times New Roman"/>
          <w:color w:val="auto"/>
          <w:sz w:val="32"/>
          <w:szCs w:val="22"/>
          <w:lang w:val="en-US" w:eastAsia="zh-CN"/>
        </w:rPr>
        <w:t>号)</w:t>
      </w:r>
      <w:r>
        <w:rPr>
          <w:rFonts w:hint="eastAsia" w:ascii="仿宋_GB2312" w:hAnsi="Times New Roman" w:eastAsia="仿宋_GB2312" w:cs="Times New Roman"/>
          <w:color w:val="auto"/>
          <w:sz w:val="32"/>
          <w:szCs w:val="22"/>
          <w:lang w:val="en-US" w:eastAsia="zh-CN"/>
        </w:rPr>
        <w:t>《国务院办公厅关于印发国家大面积停电事件应急预案的通</w:t>
      </w:r>
      <w:r>
        <w:rPr>
          <w:rFonts w:hint="default" w:ascii="仿宋_GB2312" w:hAnsi="Times New Roman" w:eastAsia="仿宋_GB2312" w:cs="Times New Roman"/>
          <w:color w:val="auto"/>
          <w:sz w:val="32"/>
          <w:szCs w:val="22"/>
          <w:lang w:val="en-US" w:eastAsia="zh-CN"/>
        </w:rPr>
        <w:t>知》(国办函〔</w:t>
      </w:r>
      <w:r>
        <w:rPr>
          <w:rFonts w:hint="eastAsia" w:ascii="仿宋_GB2312" w:hAnsi="Times New Roman" w:eastAsia="仿宋_GB2312" w:cs="Times New Roman"/>
          <w:color w:val="auto"/>
          <w:sz w:val="32"/>
          <w:szCs w:val="22"/>
          <w:lang w:val="en-US" w:eastAsia="zh-CN"/>
        </w:rPr>
        <w:t>2015</w:t>
      </w:r>
      <w:r>
        <w:rPr>
          <w:rFonts w:hint="default" w:ascii="仿宋_GB2312" w:hAnsi="Times New Roman" w:eastAsia="仿宋_GB2312" w:cs="Times New Roman"/>
          <w:color w:val="auto"/>
          <w:sz w:val="32"/>
          <w:szCs w:val="22"/>
          <w:lang w:val="en-US" w:eastAsia="zh-CN"/>
        </w:rPr>
        <w:t>〕134号)</w:t>
      </w:r>
      <w:r>
        <w:rPr>
          <w:rFonts w:hint="eastAsia" w:ascii="仿宋_GB2312" w:hAnsi="Times New Roman" w:eastAsia="仿宋_GB2312" w:cs="Times New Roman"/>
          <w:color w:val="auto"/>
          <w:sz w:val="32"/>
          <w:szCs w:val="22"/>
          <w:lang w:val="en-US" w:eastAsia="zh-CN"/>
        </w:rPr>
        <w:t>《生产安全事故应急条例》《宁夏回族自治区安全生产条例》《宁夏回族自治区大面积停电事件应急预案》（宁政办发〔2022〕54号）及相关法律、法规、预案等，制定本预案。</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zh-CN"/>
        </w:rPr>
      </w:pPr>
      <w:bookmarkStart w:id="3" w:name="_Toc32583"/>
      <w:r>
        <w:rPr>
          <w:rFonts w:hint="eastAsia" w:ascii="仿宋_GB2312" w:hAnsi="Times New Roman" w:eastAsia="仿宋_GB2312" w:cs="Times New Roman"/>
          <w:b/>
          <w:color w:val="auto"/>
          <w:kern w:val="44"/>
          <w:sz w:val="32"/>
          <w:szCs w:val="22"/>
          <w:lang w:val="zh-CN"/>
        </w:rPr>
        <w:t>1.3适用范围</w:t>
      </w:r>
      <w:bookmarkEnd w:id="3"/>
    </w:p>
    <w:p>
      <w:pPr>
        <w:spacing w:before="78" w:beforeLines="25" w:after="78" w:afterLines="25" w:line="580" w:lineRule="exact"/>
        <w:ind w:firstLine="640" w:firstLineChars="200"/>
        <w:rPr>
          <w:rFonts w:hint="default" w:ascii="仿宋_GB2312" w:hAnsi="Times New Roman" w:eastAsia="仿宋_GB2312" w:cs="Times New Roman"/>
          <w:color w:val="auto"/>
          <w:sz w:val="32"/>
          <w:szCs w:val="22"/>
          <w:lang w:val="en-US" w:eastAsia="zh-CN"/>
        </w:rPr>
      </w:pPr>
      <w:r>
        <w:rPr>
          <w:rFonts w:hint="default" w:ascii="仿宋_GB2312" w:hAnsi="Times New Roman" w:eastAsia="仿宋_GB2312" w:cs="Times New Roman"/>
          <w:color w:val="auto"/>
          <w:sz w:val="32"/>
          <w:szCs w:val="22"/>
          <w:lang w:val="en-US" w:eastAsia="zh-CN"/>
        </w:rPr>
        <w:t>本预案适用于</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eastAsia="zh-CN"/>
        </w:rPr>
        <w:t>行政区域内发生的大面积停电事件应对工作, 用于指导和规范</w:t>
      </w:r>
      <w:r>
        <w:rPr>
          <w:rFonts w:hint="eastAsia" w:ascii="仿宋_GB2312" w:hAnsi="Times New Roman" w:eastAsia="仿宋_GB2312" w:cs="Times New Roman"/>
          <w:color w:val="auto"/>
          <w:sz w:val="32"/>
          <w:szCs w:val="22"/>
          <w:lang w:val="en-US" w:eastAsia="zh-CN"/>
        </w:rPr>
        <w:t>吴忠</w:t>
      </w:r>
      <w:r>
        <w:rPr>
          <w:rFonts w:hint="default" w:ascii="仿宋_GB2312" w:hAnsi="Times New Roman" w:eastAsia="仿宋_GB2312" w:cs="Times New Roman"/>
          <w:color w:val="auto"/>
          <w:sz w:val="32"/>
          <w:szCs w:val="22"/>
          <w:lang w:val="en-US" w:eastAsia="zh-CN"/>
        </w:rPr>
        <w:t>市、县(区)人民政府及其有关部门(单位)和相关电力企业、重要电力用户协调联动开展抢险救援、事故处置、电力供应恢复等应对工作。</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eastAsia="zh-CN"/>
        </w:rPr>
      </w:pPr>
      <w:r>
        <w:rPr>
          <w:rFonts w:hint="default" w:ascii="仿宋_GB2312" w:hAnsi="Times New Roman" w:eastAsia="仿宋_GB2312" w:cs="Times New Roman"/>
          <w:color w:val="auto"/>
          <w:sz w:val="32"/>
          <w:szCs w:val="22"/>
          <w:lang w:val="en-US" w:eastAsia="zh-CN"/>
        </w:rPr>
        <w:t>本预案中</w:t>
      </w:r>
      <w:r>
        <w:rPr>
          <w:rFonts w:hint="eastAsia" w:ascii="仿宋_GB2312" w:hAnsi="Times New Roman" w:eastAsia="仿宋_GB2312" w:cs="Times New Roman"/>
          <w:color w:val="auto"/>
          <w:sz w:val="32"/>
          <w:szCs w:val="22"/>
          <w:lang w:val="en-US" w:eastAsia="zh-CN"/>
        </w:rPr>
        <w:t>大面积停电事件是指由于自然灾害、电力安全事故和外力破坏等原因造成吴忠电网或县（区）电网大量减供负荷，对国家安全、社会稳定以及人民群众生产生活造成影响和威胁的停电事件。</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zh-CN"/>
        </w:rPr>
      </w:pPr>
      <w:bookmarkStart w:id="4" w:name="_Toc24436"/>
      <w:r>
        <w:rPr>
          <w:rFonts w:hint="eastAsia" w:ascii="仿宋_GB2312" w:hAnsi="Times New Roman" w:eastAsia="仿宋_GB2312" w:cs="Times New Roman"/>
          <w:b/>
          <w:color w:val="auto"/>
          <w:kern w:val="44"/>
          <w:sz w:val="32"/>
          <w:szCs w:val="22"/>
          <w:lang w:val="zh-CN"/>
        </w:rPr>
        <w:t>1.4工作原则</w:t>
      </w:r>
      <w:bookmarkEnd w:id="4"/>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eastAsia="zh-CN"/>
        </w:rPr>
      </w:pPr>
      <w:r>
        <w:rPr>
          <w:rFonts w:hint="eastAsia" w:ascii="仿宋_GB2312" w:hAnsi="Times New Roman" w:eastAsia="仿宋_GB2312" w:cs="Times New Roman"/>
          <w:color w:val="auto"/>
          <w:sz w:val="32"/>
          <w:szCs w:val="22"/>
        </w:rPr>
        <w:t>大面积停电事件应对工作坚持统一领导</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综合协调</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属地为主</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分工负责</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保障民生</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维护安全</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全社会共同参与的原则</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大面积停电事件发生后</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lang w:val="en-US" w:eastAsia="zh-CN"/>
        </w:rPr>
        <w:t>吴忠</w:t>
      </w:r>
      <w:r>
        <w:rPr>
          <w:rFonts w:hint="eastAsia" w:ascii="仿宋_GB2312" w:hAnsi="Times New Roman" w:eastAsia="仿宋_GB2312" w:cs="Times New Roman"/>
          <w:color w:val="auto"/>
          <w:sz w:val="32"/>
          <w:szCs w:val="22"/>
        </w:rPr>
        <w:t>市</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lang w:val="en-US" w:eastAsia="zh-CN"/>
        </w:rPr>
        <w:t>县（区）人民</w:t>
      </w:r>
      <w:r>
        <w:rPr>
          <w:rFonts w:hint="eastAsia" w:ascii="仿宋_GB2312" w:hAnsi="Times New Roman" w:eastAsia="仿宋_GB2312" w:cs="Times New Roman"/>
          <w:color w:val="auto"/>
          <w:sz w:val="32"/>
          <w:szCs w:val="22"/>
        </w:rPr>
        <w:t>政府及其有关部门</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电力企业</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重要电力用户应立即按照职责分工和相关预案开展处置工作</w:t>
      </w:r>
      <w:r>
        <w:rPr>
          <w:rFonts w:hint="eastAsia" w:ascii="仿宋_GB2312" w:hAnsi="Times New Roman" w:eastAsia="仿宋_GB2312" w:cs="Times New Roman"/>
          <w:color w:val="auto"/>
          <w:sz w:val="32"/>
          <w:szCs w:val="22"/>
          <w:lang w:eastAsia="zh-CN"/>
        </w:rPr>
        <w:t>。</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zh-CN"/>
        </w:rPr>
      </w:pPr>
      <w:bookmarkStart w:id="5" w:name="_Toc2150"/>
      <w:r>
        <w:rPr>
          <w:rFonts w:hint="eastAsia" w:ascii="仿宋_GB2312" w:hAnsi="Times New Roman" w:eastAsia="仿宋_GB2312" w:cs="Times New Roman"/>
          <w:b/>
          <w:color w:val="auto"/>
          <w:kern w:val="44"/>
          <w:sz w:val="32"/>
          <w:szCs w:val="22"/>
          <w:lang w:val="zh-CN"/>
        </w:rPr>
        <w:t>1.5事件分级</w:t>
      </w:r>
      <w:bookmarkEnd w:id="5"/>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eastAsia="zh-CN"/>
        </w:rPr>
      </w:pPr>
      <w:r>
        <w:rPr>
          <w:rFonts w:hint="eastAsia" w:ascii="仿宋_GB2312" w:hAnsi="Times New Roman" w:eastAsia="仿宋_GB2312" w:cs="Times New Roman"/>
          <w:color w:val="auto"/>
          <w:sz w:val="32"/>
          <w:szCs w:val="22"/>
        </w:rPr>
        <w:t>按照事件严重性和受影响程度</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大面积停电事件分为特别重大</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重大</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较大和一般四级</w:t>
      </w:r>
      <w:r>
        <w:rPr>
          <w:rFonts w:hint="eastAsia" w:ascii="仿宋_GB2312" w:hAnsi="Times New Roman" w:eastAsia="仿宋_GB2312" w:cs="Times New Roman"/>
          <w:color w:val="auto"/>
          <w:sz w:val="32"/>
          <w:szCs w:val="22"/>
          <w:lang w:eastAsia="zh-CN"/>
        </w:rPr>
        <w:t>。</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eastAsia="zh-CN"/>
        </w:rPr>
      </w:pPr>
      <w:r>
        <w:rPr>
          <w:rFonts w:hint="eastAsia" w:ascii="仿宋_GB2312" w:hAnsi="Times New Roman" w:eastAsia="仿宋_GB2312" w:cs="Times New Roman"/>
          <w:color w:val="auto"/>
          <w:sz w:val="32"/>
          <w:szCs w:val="22"/>
        </w:rPr>
        <w:t>分级标准见附件1</w:t>
      </w:r>
      <w:r>
        <w:rPr>
          <w:rFonts w:hint="eastAsia" w:ascii="仿宋_GB2312" w:hAnsi="Times New Roman" w:eastAsia="仿宋_GB2312" w:cs="Times New Roman"/>
          <w:color w:val="auto"/>
          <w:sz w:val="32"/>
          <w:szCs w:val="22"/>
          <w:lang w:eastAsia="zh-CN"/>
        </w:rPr>
        <w:t>。</w:t>
      </w:r>
    </w:p>
    <w:p>
      <w:pPr>
        <w:pStyle w:val="2"/>
        <w:keepNext w:val="0"/>
        <w:keepLines w:val="0"/>
        <w:spacing w:before="78" w:beforeLines="25" w:after="78" w:afterLines="25"/>
        <w:ind w:firstLine="642" w:firstLineChars="200"/>
        <w:rPr>
          <w:rFonts w:hint="eastAsia" w:ascii="黑体" w:hAnsi="黑体" w:cs="Times New Roman"/>
          <w:b/>
          <w:color w:val="auto"/>
          <w:sz w:val="32"/>
          <w:szCs w:val="22"/>
          <w:lang w:val="zh-CN" w:eastAsia="zh-CN"/>
        </w:rPr>
      </w:pPr>
      <w:bookmarkStart w:id="6" w:name="_Toc23824"/>
      <w:r>
        <w:rPr>
          <w:rFonts w:hint="eastAsia" w:ascii="黑体" w:hAnsi="黑体" w:cs="Times New Roman"/>
          <w:b/>
          <w:color w:val="auto"/>
          <w:sz w:val="32"/>
          <w:szCs w:val="22"/>
          <w:lang w:val="zh-CN"/>
        </w:rPr>
        <w:t>2组织</w:t>
      </w:r>
      <w:r>
        <w:rPr>
          <w:rFonts w:hint="eastAsia" w:ascii="黑体" w:hAnsi="黑体" w:cs="Times New Roman"/>
          <w:b/>
          <w:color w:val="auto"/>
          <w:sz w:val="32"/>
          <w:szCs w:val="22"/>
          <w:lang w:val="en-US" w:eastAsia="zh-CN"/>
        </w:rPr>
        <w:t>体系</w:t>
      </w:r>
      <w:bookmarkEnd w:id="6"/>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en-US"/>
        </w:rPr>
      </w:pPr>
      <w:bookmarkStart w:id="7" w:name="_Toc11455"/>
      <w:r>
        <w:rPr>
          <w:rFonts w:hint="eastAsia" w:ascii="仿宋_GB2312" w:hAnsi="Times New Roman" w:eastAsia="仿宋_GB2312" w:cs="Times New Roman"/>
          <w:b/>
          <w:color w:val="auto"/>
          <w:kern w:val="44"/>
          <w:sz w:val="32"/>
          <w:szCs w:val="22"/>
          <w:lang w:val="en-US"/>
        </w:rPr>
        <w:t>2.1</w:t>
      </w:r>
      <w:r>
        <w:rPr>
          <w:rFonts w:hint="eastAsia" w:ascii="仿宋_GB2312" w:hAnsi="Times New Roman" w:eastAsia="仿宋_GB2312" w:cs="Times New Roman"/>
          <w:b/>
          <w:color w:val="auto"/>
          <w:kern w:val="44"/>
          <w:sz w:val="32"/>
          <w:szCs w:val="22"/>
          <w:lang w:val="en-US" w:eastAsia="zh-CN"/>
        </w:rPr>
        <w:t>吴忠</w:t>
      </w:r>
      <w:r>
        <w:rPr>
          <w:rFonts w:hint="eastAsia" w:ascii="仿宋_GB2312" w:hAnsi="Times New Roman" w:eastAsia="仿宋_GB2312" w:cs="Times New Roman"/>
          <w:b/>
          <w:color w:val="auto"/>
          <w:kern w:val="44"/>
          <w:sz w:val="32"/>
          <w:szCs w:val="22"/>
          <w:lang w:val="en-US"/>
        </w:rPr>
        <w:t>市</w:t>
      </w:r>
      <w:r>
        <w:rPr>
          <w:rFonts w:hint="eastAsia" w:ascii="仿宋_GB2312" w:hAnsi="Times New Roman" w:eastAsia="仿宋_GB2312" w:cs="Times New Roman"/>
          <w:b/>
          <w:color w:val="auto"/>
          <w:kern w:val="44"/>
          <w:sz w:val="32"/>
          <w:szCs w:val="22"/>
          <w:lang w:val="en-US" w:eastAsia="zh-CN"/>
        </w:rPr>
        <w:t>应急</w:t>
      </w:r>
      <w:r>
        <w:rPr>
          <w:rFonts w:hint="eastAsia" w:ascii="仿宋_GB2312" w:hAnsi="Times New Roman" w:eastAsia="仿宋_GB2312" w:cs="Times New Roman"/>
          <w:b/>
          <w:color w:val="auto"/>
          <w:kern w:val="44"/>
          <w:sz w:val="32"/>
          <w:szCs w:val="22"/>
          <w:lang w:val="en-US"/>
        </w:rPr>
        <w:t>指挥机构</w:t>
      </w:r>
      <w:bookmarkEnd w:id="7"/>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 xml:space="preserve">根据大面积停电事件应急处置工作需要, </w:t>
      </w: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人民政府成</w:t>
      </w:r>
      <w:r>
        <w:rPr>
          <w:rFonts w:hint="eastAsia" w:ascii="仿宋_GB2312" w:hAnsi="Times New Roman" w:eastAsia="仿宋_GB2312" w:cs="Times New Roman"/>
          <w:color w:val="auto"/>
          <w:sz w:val="32"/>
          <w:szCs w:val="22"/>
          <w:lang w:val="en-US" w:eastAsia="zh-CN"/>
        </w:rPr>
        <w:t>立吴忠市大面积停电事件应急指挥部(以下简称吴忠市大面积停</w:t>
      </w:r>
      <w:r>
        <w:rPr>
          <w:rFonts w:hint="eastAsia" w:ascii="仿宋_GB2312" w:hAnsi="Times New Roman" w:eastAsia="仿宋_GB2312" w:cs="Times New Roman"/>
          <w:color w:val="auto"/>
          <w:sz w:val="32"/>
          <w:szCs w:val="22"/>
        </w:rPr>
        <w:t>电应急指挥部), 指挥部下设办公室, 办公室设在</w:t>
      </w: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发展改革委。</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eastAsia="zh-CN"/>
        </w:rPr>
      </w:pPr>
      <w:r>
        <w:rPr>
          <w:rFonts w:hint="eastAsia" w:ascii="仿宋_GB2312" w:hAnsi="Times New Roman" w:eastAsia="仿宋_GB2312" w:cs="Times New Roman"/>
          <w:color w:val="auto"/>
          <w:sz w:val="32"/>
          <w:szCs w:val="22"/>
        </w:rPr>
        <w:t>特别重</w:t>
      </w:r>
      <w:r>
        <w:rPr>
          <w:rFonts w:hint="eastAsia" w:ascii="仿宋_GB2312" w:hAnsi="Times New Roman" w:eastAsia="仿宋_GB2312" w:cs="Times New Roman"/>
          <w:color w:val="auto"/>
          <w:sz w:val="32"/>
          <w:szCs w:val="22"/>
          <w:lang w:val="en-US" w:eastAsia="zh-CN"/>
        </w:rPr>
        <w:t>大、</w:t>
      </w:r>
      <w:r>
        <w:rPr>
          <w:rFonts w:hint="eastAsia" w:ascii="仿宋_GB2312" w:hAnsi="Times New Roman" w:eastAsia="仿宋_GB2312" w:cs="Times New Roman"/>
          <w:color w:val="auto"/>
          <w:sz w:val="32"/>
          <w:szCs w:val="22"/>
        </w:rPr>
        <w:t xml:space="preserve">重大大面积停电事件发生后, </w:t>
      </w:r>
      <w:r>
        <w:rPr>
          <w:rFonts w:hint="eastAsia" w:ascii="仿宋_GB2312" w:hAnsi="Times New Roman" w:eastAsia="仿宋_GB2312" w:cs="Times New Roman"/>
          <w:color w:val="auto"/>
          <w:sz w:val="32"/>
          <w:szCs w:val="22"/>
          <w:lang w:val="en-US" w:eastAsia="zh-CN"/>
        </w:rPr>
        <w:t>吴忠市大面积停</w:t>
      </w:r>
      <w:r>
        <w:rPr>
          <w:rFonts w:hint="eastAsia" w:ascii="仿宋_GB2312" w:hAnsi="Times New Roman" w:eastAsia="仿宋_GB2312" w:cs="Times New Roman"/>
          <w:color w:val="auto"/>
          <w:sz w:val="32"/>
          <w:szCs w:val="22"/>
        </w:rPr>
        <w:t>电应急指挥部</w:t>
      </w:r>
      <w:r>
        <w:rPr>
          <w:rFonts w:hint="eastAsia" w:ascii="仿宋_GB2312" w:hAnsi="Times New Roman" w:eastAsia="仿宋_GB2312" w:cs="Times New Roman"/>
          <w:color w:val="auto"/>
          <w:sz w:val="32"/>
          <w:szCs w:val="22"/>
          <w:lang w:val="en-US" w:eastAsia="zh-CN"/>
        </w:rPr>
        <w:t>在自治区大面积停</w:t>
      </w:r>
      <w:r>
        <w:rPr>
          <w:rFonts w:hint="eastAsia" w:ascii="仿宋_GB2312" w:hAnsi="Times New Roman" w:eastAsia="仿宋_GB2312" w:cs="Times New Roman"/>
          <w:color w:val="auto"/>
          <w:sz w:val="32"/>
          <w:szCs w:val="22"/>
        </w:rPr>
        <w:t>电应急指挥部</w:t>
      </w:r>
      <w:r>
        <w:rPr>
          <w:rFonts w:hint="eastAsia" w:ascii="仿宋_GB2312" w:hAnsi="Times New Roman" w:eastAsia="仿宋_GB2312" w:cs="Times New Roman"/>
          <w:color w:val="auto"/>
          <w:sz w:val="32"/>
          <w:szCs w:val="22"/>
          <w:lang w:val="en-US" w:eastAsia="zh-CN"/>
        </w:rPr>
        <w:t>的统一指挥下，开展应急处置工作。</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lang w:val="en-US" w:eastAsia="zh-CN"/>
        </w:rPr>
        <w:t>吴忠市人民政府市长担</w:t>
      </w:r>
      <w:r>
        <w:rPr>
          <w:rFonts w:hint="eastAsia" w:ascii="仿宋_GB2312" w:hAnsi="Times New Roman" w:eastAsia="仿宋_GB2312" w:cs="Times New Roman"/>
          <w:color w:val="auto"/>
          <w:sz w:val="32"/>
          <w:szCs w:val="22"/>
        </w:rPr>
        <w:t xml:space="preserve">任总指挥, </w:t>
      </w: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人民政府分管副</w:t>
      </w:r>
      <w:r>
        <w:rPr>
          <w:rFonts w:hint="eastAsia" w:ascii="仿宋_GB2312" w:hAnsi="Times New Roman" w:eastAsia="仿宋_GB2312" w:cs="Times New Roman"/>
          <w:color w:val="auto"/>
          <w:sz w:val="32"/>
          <w:szCs w:val="22"/>
          <w:lang w:val="en-US" w:eastAsia="zh-CN"/>
        </w:rPr>
        <w:t>市长</w:t>
      </w:r>
      <w:r>
        <w:rPr>
          <w:rFonts w:hint="eastAsia" w:ascii="仿宋_GB2312" w:hAnsi="Times New Roman" w:eastAsia="仿宋_GB2312" w:cs="Times New Roman"/>
          <w:color w:val="auto"/>
          <w:sz w:val="32"/>
          <w:szCs w:val="22"/>
        </w:rPr>
        <w:t>担任副总指挥。</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lang w:val="en-US" w:eastAsia="zh-CN"/>
        </w:rPr>
        <w:t>较大</w:t>
      </w:r>
      <w:r>
        <w:rPr>
          <w:rFonts w:hint="eastAsia" w:ascii="仿宋_GB2312" w:hAnsi="Times New Roman" w:eastAsia="仿宋_GB2312" w:cs="Times New Roman"/>
          <w:color w:val="auto"/>
          <w:sz w:val="32"/>
          <w:szCs w:val="22"/>
        </w:rPr>
        <w:t xml:space="preserve">大面积停电事件发生后, </w:t>
      </w: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人民政府分管副</w:t>
      </w:r>
      <w:r>
        <w:rPr>
          <w:rFonts w:hint="eastAsia" w:ascii="仿宋_GB2312" w:hAnsi="Times New Roman" w:eastAsia="仿宋_GB2312" w:cs="Times New Roman"/>
          <w:color w:val="auto"/>
          <w:sz w:val="32"/>
          <w:szCs w:val="22"/>
          <w:lang w:val="en-US" w:eastAsia="zh-CN"/>
        </w:rPr>
        <w:t>市长</w:t>
      </w:r>
      <w:r>
        <w:rPr>
          <w:rFonts w:hint="eastAsia" w:ascii="仿宋_GB2312" w:hAnsi="Times New Roman" w:eastAsia="仿宋_GB2312" w:cs="Times New Roman"/>
          <w:color w:val="auto"/>
          <w:sz w:val="32"/>
          <w:szCs w:val="22"/>
        </w:rPr>
        <w:t xml:space="preserve">担任总指挥, </w:t>
      </w: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人民政府分管副秘书长担任副总指挥。</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成员单位由市委宣传部、</w:t>
      </w:r>
      <w:r>
        <w:rPr>
          <w:rFonts w:hint="eastAsia" w:ascii="仿宋_GB2312" w:hAnsi="Times New Roman" w:eastAsia="仿宋_GB2312" w:cs="Times New Roman"/>
          <w:color w:val="auto"/>
          <w:sz w:val="32"/>
          <w:szCs w:val="22"/>
          <w:lang w:val="en-US" w:eastAsia="zh-CN"/>
        </w:rPr>
        <w:t>网信办、</w:t>
      </w:r>
      <w:r>
        <w:rPr>
          <w:rFonts w:hint="eastAsia" w:ascii="仿宋_GB2312" w:hAnsi="Times New Roman" w:eastAsia="仿宋_GB2312" w:cs="Times New Roman"/>
          <w:color w:val="auto"/>
          <w:sz w:val="32"/>
          <w:szCs w:val="22"/>
        </w:rPr>
        <w:t>发改委、</w:t>
      </w:r>
      <w:r>
        <w:rPr>
          <w:rFonts w:hint="eastAsia" w:ascii="仿宋_GB2312" w:hAnsi="Times New Roman" w:eastAsia="仿宋_GB2312" w:cs="Times New Roman"/>
          <w:color w:val="auto"/>
          <w:sz w:val="32"/>
          <w:szCs w:val="22"/>
          <w:lang w:eastAsia="zh-CN"/>
        </w:rPr>
        <w:t>工信局</w:t>
      </w:r>
      <w:r>
        <w:rPr>
          <w:rFonts w:hint="eastAsia" w:ascii="仿宋_GB2312" w:hAnsi="Times New Roman" w:eastAsia="仿宋_GB2312" w:cs="Times New Roman"/>
          <w:color w:val="auto"/>
          <w:sz w:val="32"/>
          <w:szCs w:val="22"/>
        </w:rPr>
        <w:t>、商务局、市场监管</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rPr>
        <w:t>公安局、民政局、财政局、</w:t>
      </w:r>
      <w:r>
        <w:rPr>
          <w:rFonts w:hint="eastAsia" w:ascii="仿宋_GB2312" w:hAnsi="Times New Roman" w:eastAsia="仿宋_GB2312" w:cs="Times New Roman"/>
          <w:color w:val="auto"/>
          <w:sz w:val="32"/>
          <w:szCs w:val="22"/>
          <w:lang w:eastAsia="zh-CN"/>
        </w:rPr>
        <w:t>自然</w:t>
      </w:r>
      <w:r>
        <w:rPr>
          <w:rFonts w:hint="eastAsia" w:ascii="仿宋_GB2312" w:hAnsi="Times New Roman" w:eastAsia="仿宋_GB2312" w:cs="Times New Roman"/>
          <w:color w:val="auto"/>
          <w:sz w:val="32"/>
          <w:szCs w:val="22"/>
        </w:rPr>
        <w:t>资源局、交通运输</w:t>
      </w:r>
      <w:r>
        <w:rPr>
          <w:rFonts w:hint="eastAsia" w:ascii="仿宋_GB2312" w:hAnsi="Times New Roman" w:eastAsia="仿宋_GB2312" w:cs="Times New Roman"/>
          <w:color w:val="auto"/>
          <w:sz w:val="32"/>
          <w:szCs w:val="22"/>
          <w:lang w:eastAsia="zh-CN"/>
        </w:rPr>
        <w:t>局</w:t>
      </w:r>
      <w:r>
        <w:rPr>
          <w:rFonts w:hint="eastAsia" w:ascii="仿宋_GB2312" w:hAnsi="Times New Roman" w:eastAsia="仿宋_GB2312" w:cs="Times New Roman"/>
          <w:color w:val="auto"/>
          <w:sz w:val="32"/>
          <w:szCs w:val="22"/>
        </w:rPr>
        <w:t>、水</w:t>
      </w:r>
      <w:r>
        <w:rPr>
          <w:rFonts w:hint="eastAsia" w:ascii="仿宋_GB2312" w:hAnsi="Times New Roman" w:eastAsia="仿宋_GB2312" w:cs="Times New Roman"/>
          <w:color w:val="auto"/>
          <w:sz w:val="32"/>
          <w:szCs w:val="22"/>
          <w:lang w:eastAsia="zh-CN"/>
        </w:rPr>
        <w:t>务</w:t>
      </w:r>
      <w:r>
        <w:rPr>
          <w:rFonts w:hint="eastAsia" w:ascii="仿宋_GB2312" w:hAnsi="Times New Roman" w:eastAsia="仿宋_GB2312" w:cs="Times New Roman"/>
          <w:color w:val="auto"/>
          <w:sz w:val="32"/>
          <w:szCs w:val="22"/>
        </w:rPr>
        <w:t>局、卫</w:t>
      </w:r>
      <w:r>
        <w:rPr>
          <w:rFonts w:hint="eastAsia" w:ascii="仿宋_GB2312" w:hAnsi="Times New Roman" w:eastAsia="仿宋_GB2312" w:cs="Times New Roman"/>
          <w:color w:val="auto"/>
          <w:sz w:val="32"/>
          <w:szCs w:val="22"/>
          <w:lang w:eastAsia="zh-CN"/>
        </w:rPr>
        <w:t>健</w:t>
      </w:r>
      <w:r>
        <w:rPr>
          <w:rFonts w:hint="eastAsia" w:ascii="仿宋_GB2312" w:hAnsi="Times New Roman" w:eastAsia="仿宋_GB2312" w:cs="Times New Roman"/>
          <w:color w:val="auto"/>
          <w:sz w:val="32"/>
          <w:szCs w:val="22"/>
        </w:rPr>
        <w:t>委、</w:t>
      </w:r>
      <w:r>
        <w:rPr>
          <w:rFonts w:hint="eastAsia" w:ascii="仿宋_GB2312" w:hAnsi="Times New Roman" w:eastAsia="仿宋_GB2312" w:cs="Times New Roman"/>
          <w:color w:val="auto"/>
          <w:sz w:val="32"/>
          <w:szCs w:val="22"/>
          <w:lang w:eastAsia="zh-CN"/>
        </w:rPr>
        <w:t>应急</w:t>
      </w:r>
      <w:r>
        <w:rPr>
          <w:rFonts w:hint="eastAsia" w:ascii="仿宋_GB2312" w:hAnsi="Times New Roman" w:eastAsia="仿宋_GB2312" w:cs="Times New Roman"/>
          <w:color w:val="auto"/>
          <w:sz w:val="32"/>
          <w:szCs w:val="22"/>
        </w:rPr>
        <w:t>局、文广局</w:t>
      </w:r>
      <w:r>
        <w:rPr>
          <w:rFonts w:hint="eastAsia" w:ascii="仿宋_GB2312" w:hAnsi="Times New Roman" w:eastAsia="仿宋_GB2312" w:cs="Times New Roman"/>
          <w:color w:val="auto"/>
          <w:sz w:val="32"/>
          <w:szCs w:val="22"/>
          <w:lang w:val="en-US" w:eastAsia="zh-CN"/>
        </w:rPr>
        <w:t>、</w:t>
      </w:r>
      <w:r>
        <w:rPr>
          <w:rFonts w:hint="eastAsia" w:ascii="仿宋_GB2312" w:hAnsi="Times New Roman" w:eastAsia="仿宋_GB2312" w:cs="Times New Roman"/>
          <w:color w:val="auto"/>
          <w:sz w:val="32"/>
          <w:szCs w:val="22"/>
          <w:lang w:eastAsia="zh-CN"/>
        </w:rPr>
        <w:t>科技（地震）</w:t>
      </w:r>
      <w:r>
        <w:rPr>
          <w:rFonts w:hint="eastAsia" w:ascii="仿宋_GB2312" w:hAnsi="Times New Roman" w:eastAsia="仿宋_GB2312" w:cs="Times New Roman"/>
          <w:color w:val="auto"/>
          <w:sz w:val="32"/>
          <w:szCs w:val="22"/>
        </w:rPr>
        <w:t>局、</w:t>
      </w:r>
      <w:r>
        <w:rPr>
          <w:rFonts w:hint="eastAsia" w:ascii="仿宋_GB2312" w:hAnsi="Times New Roman" w:eastAsia="仿宋_GB2312" w:cs="Times New Roman"/>
          <w:color w:val="auto"/>
          <w:sz w:val="32"/>
          <w:szCs w:val="22"/>
          <w:lang w:eastAsia="zh-CN"/>
        </w:rPr>
        <w:t>消防救援支队、</w:t>
      </w:r>
      <w:r>
        <w:rPr>
          <w:rFonts w:hint="eastAsia" w:ascii="仿宋_GB2312" w:hAnsi="Times New Roman" w:eastAsia="仿宋_GB2312" w:cs="Times New Roman"/>
          <w:color w:val="auto"/>
          <w:sz w:val="32"/>
          <w:szCs w:val="22"/>
        </w:rPr>
        <w:t>武警支队、气象局、</w:t>
      </w:r>
      <w:r>
        <w:rPr>
          <w:rFonts w:hint="eastAsia" w:ascii="仿宋_GB2312" w:hAnsi="Times New Roman" w:eastAsia="仿宋_GB2312" w:cs="Times New Roman"/>
          <w:color w:val="auto"/>
          <w:sz w:val="32"/>
          <w:szCs w:val="22"/>
          <w:lang w:val="en-US" w:eastAsia="zh-CN"/>
        </w:rPr>
        <w:t>无线电管理委员会吴忠管理处</w:t>
      </w:r>
      <w:r>
        <w:rPr>
          <w:rFonts w:hint="eastAsia" w:ascii="仿宋_GB2312" w:hAnsi="Times New Roman" w:eastAsia="仿宋_GB2312" w:cs="Times New Roman"/>
          <w:color w:val="auto"/>
          <w:sz w:val="32"/>
          <w:szCs w:val="22"/>
        </w:rPr>
        <w:t>、粮食和储备局</w:t>
      </w:r>
      <w:r>
        <w:rPr>
          <w:rFonts w:hint="eastAsia" w:ascii="仿宋_GB2312" w:hAnsi="Times New Roman" w:eastAsia="仿宋_GB2312" w:cs="Times New Roman"/>
          <w:color w:val="auto"/>
          <w:sz w:val="32"/>
          <w:szCs w:val="22"/>
          <w:lang w:eastAsia="zh-CN"/>
        </w:rPr>
        <w:t>、兰州</w:t>
      </w:r>
      <w:r>
        <w:rPr>
          <w:rFonts w:hint="eastAsia" w:ascii="仿宋_GB2312" w:hAnsi="Times New Roman" w:eastAsia="仿宋_GB2312" w:cs="Times New Roman"/>
          <w:color w:val="auto"/>
          <w:sz w:val="32"/>
          <w:szCs w:val="22"/>
        </w:rPr>
        <w:t>铁路局</w:t>
      </w:r>
      <w:r>
        <w:rPr>
          <w:rFonts w:hint="eastAsia" w:ascii="仿宋_GB2312" w:hAnsi="Times New Roman" w:eastAsia="仿宋_GB2312" w:cs="Times New Roman"/>
          <w:color w:val="auto"/>
          <w:sz w:val="32"/>
          <w:szCs w:val="22"/>
          <w:lang w:eastAsia="zh-CN"/>
        </w:rPr>
        <w:t>吴忠站</w:t>
      </w:r>
      <w:r>
        <w:rPr>
          <w:rFonts w:hint="eastAsia" w:ascii="仿宋_GB2312" w:hAnsi="Times New Roman" w:eastAsia="仿宋_GB2312" w:cs="Times New Roman"/>
          <w:color w:val="auto"/>
          <w:sz w:val="32"/>
          <w:szCs w:val="22"/>
        </w:rPr>
        <w:t>、</w:t>
      </w:r>
      <w:r>
        <w:rPr>
          <w:rFonts w:hint="eastAsia" w:ascii="仿宋_GB2312" w:hAnsi="Times New Roman" w:eastAsia="仿宋_GB2312" w:cs="Times New Roman"/>
          <w:color w:val="auto"/>
          <w:sz w:val="32"/>
          <w:szCs w:val="22"/>
          <w:lang w:val="en-US" w:eastAsia="zh-CN"/>
        </w:rPr>
        <w:t>国网吴忠供电公司、</w:t>
      </w:r>
      <w:r>
        <w:rPr>
          <w:rFonts w:hint="eastAsia" w:ascii="仿宋_GB2312" w:hAnsi="Times New Roman" w:eastAsia="仿宋_GB2312" w:cs="Times New Roman"/>
          <w:color w:val="auto"/>
          <w:sz w:val="32"/>
          <w:szCs w:val="22"/>
          <w:lang w:eastAsia="zh-CN"/>
        </w:rPr>
        <w:t>国网宁东供电公司、</w:t>
      </w:r>
      <w:r>
        <w:rPr>
          <w:rFonts w:hint="eastAsia" w:ascii="仿宋_GB2312" w:hAnsi="Times New Roman" w:eastAsia="仿宋_GB2312" w:cs="Times New Roman"/>
          <w:color w:val="auto"/>
          <w:sz w:val="32"/>
          <w:szCs w:val="22"/>
        </w:rPr>
        <w:t>以及在</w:t>
      </w:r>
      <w:r>
        <w:rPr>
          <w:rFonts w:hint="eastAsia" w:ascii="仿宋_GB2312" w:hAnsi="Times New Roman" w:eastAsia="仿宋_GB2312" w:cs="Times New Roman"/>
          <w:color w:val="auto"/>
          <w:sz w:val="32"/>
          <w:szCs w:val="22"/>
          <w:lang w:val="en-US" w:eastAsia="zh-CN"/>
        </w:rPr>
        <w:t>吴</w:t>
      </w:r>
      <w:r>
        <w:rPr>
          <w:rFonts w:hint="eastAsia" w:ascii="仿宋_GB2312" w:hAnsi="Times New Roman" w:eastAsia="仿宋_GB2312" w:cs="Times New Roman"/>
          <w:color w:val="auto"/>
          <w:sz w:val="32"/>
          <w:szCs w:val="22"/>
        </w:rPr>
        <w:t>总装机容量60万千瓦及以上的发电</w:t>
      </w:r>
      <w:r>
        <w:rPr>
          <w:rFonts w:hint="eastAsia" w:ascii="仿宋_GB2312" w:hAnsi="Times New Roman" w:eastAsia="仿宋_GB2312" w:cs="Times New Roman"/>
          <w:color w:val="auto"/>
          <w:sz w:val="32"/>
          <w:szCs w:val="22"/>
          <w:lang w:val="en-US" w:eastAsia="zh-CN"/>
        </w:rPr>
        <w:t>厂</w:t>
      </w:r>
      <w:r>
        <w:rPr>
          <w:rFonts w:hint="eastAsia" w:ascii="仿宋_GB2312" w:hAnsi="Times New Roman" w:eastAsia="仿宋_GB2312" w:cs="Times New Roman"/>
          <w:color w:val="auto"/>
          <w:sz w:val="32"/>
          <w:szCs w:val="22"/>
        </w:rPr>
        <w:t>等单位和企业组成。并可根据应对工作需要, 增加有关县(区)人民政府</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lang w:val="en-US" w:eastAsia="zh-CN"/>
        </w:rPr>
        <w:t>太阳山管委会</w:t>
      </w:r>
      <w:r>
        <w:rPr>
          <w:rFonts w:hint="eastAsia" w:ascii="仿宋_GB2312" w:hAnsi="Times New Roman" w:eastAsia="仿宋_GB2312" w:cs="Times New Roman"/>
          <w:color w:val="auto"/>
          <w:sz w:val="32"/>
          <w:szCs w:val="22"/>
        </w:rPr>
        <w:t>及</w:t>
      </w: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有关单位、相关电力企业和重要电力用户。</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en-US"/>
        </w:rPr>
      </w:pPr>
      <w:bookmarkStart w:id="8" w:name="_Toc24607"/>
      <w:r>
        <w:rPr>
          <w:rFonts w:hint="eastAsia" w:ascii="仿宋_GB2312" w:hAnsi="Times New Roman" w:eastAsia="仿宋_GB2312" w:cs="Times New Roman"/>
          <w:b/>
          <w:color w:val="auto"/>
          <w:kern w:val="44"/>
          <w:sz w:val="32"/>
          <w:szCs w:val="22"/>
          <w:lang w:val="en-US"/>
        </w:rPr>
        <w:t xml:space="preserve">2.2 </w:t>
      </w:r>
      <w:r>
        <w:rPr>
          <w:rFonts w:hint="eastAsia" w:ascii="仿宋_GB2312" w:hAnsi="Times New Roman" w:eastAsia="仿宋_GB2312" w:cs="Times New Roman"/>
          <w:b/>
          <w:color w:val="auto"/>
          <w:kern w:val="44"/>
          <w:sz w:val="32"/>
          <w:szCs w:val="22"/>
          <w:lang w:val="en-US" w:eastAsia="zh-CN"/>
        </w:rPr>
        <w:t>吴忠市</w:t>
      </w:r>
      <w:r>
        <w:rPr>
          <w:rFonts w:hint="eastAsia" w:ascii="仿宋_GB2312" w:hAnsi="Times New Roman" w:eastAsia="仿宋_GB2312" w:cs="Times New Roman"/>
          <w:b/>
          <w:color w:val="auto"/>
          <w:kern w:val="44"/>
          <w:sz w:val="32"/>
          <w:szCs w:val="22"/>
          <w:lang w:val="en-US"/>
        </w:rPr>
        <w:t>大面积停电应急指挥部主要职责</w:t>
      </w:r>
      <w:bookmarkEnd w:id="8"/>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统一指挥</w:t>
      </w: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大面积停电事件应急处理、事故抢险、电网恢复和社会救援等各项应急工作, 具体负责:</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(1)研究重大应急决策和部署, 协调有关县(区)人民政府和</w:t>
      </w: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有关单位应急指挥机构之间的关系;</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(2)当发生特别重大、重大</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lang w:val="en-US" w:eastAsia="zh-CN"/>
        </w:rPr>
        <w:t>较大</w:t>
      </w:r>
      <w:r>
        <w:rPr>
          <w:rFonts w:hint="eastAsia" w:ascii="仿宋_GB2312" w:hAnsi="Times New Roman" w:eastAsia="仿宋_GB2312" w:cs="Times New Roman"/>
          <w:color w:val="auto"/>
          <w:sz w:val="32"/>
          <w:szCs w:val="22"/>
        </w:rPr>
        <w:t>大面积停电事件时, 决定启动和终止相应应急响应, 宣布进入应急状态, 发布应急指令;</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(3)传达贯彻执行</w:t>
      </w:r>
      <w:r>
        <w:rPr>
          <w:rFonts w:hint="eastAsia" w:ascii="仿宋_GB2312" w:hAnsi="Times New Roman" w:eastAsia="仿宋_GB2312" w:cs="Times New Roman"/>
          <w:color w:val="auto"/>
          <w:sz w:val="32"/>
          <w:szCs w:val="22"/>
          <w:lang w:val="en-US" w:eastAsia="zh-CN"/>
        </w:rPr>
        <w:t>自治区</w:t>
      </w:r>
      <w:r>
        <w:rPr>
          <w:rFonts w:hint="eastAsia" w:ascii="仿宋_GB2312" w:hAnsi="Times New Roman" w:eastAsia="仿宋_GB2312" w:cs="Times New Roman"/>
          <w:color w:val="auto"/>
          <w:sz w:val="32"/>
          <w:szCs w:val="22"/>
        </w:rPr>
        <w:t>和</w:t>
      </w: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党委、政府有关指示、命令; 向</w:t>
      </w:r>
      <w:r>
        <w:rPr>
          <w:rFonts w:hint="eastAsia" w:ascii="仿宋_GB2312" w:hAnsi="Times New Roman" w:eastAsia="仿宋_GB2312" w:cs="Times New Roman"/>
          <w:color w:val="auto"/>
          <w:sz w:val="32"/>
          <w:szCs w:val="22"/>
          <w:lang w:val="en-US" w:eastAsia="zh-CN"/>
        </w:rPr>
        <w:t>自治区、吴忠市</w:t>
      </w:r>
      <w:r>
        <w:rPr>
          <w:rFonts w:hint="eastAsia" w:ascii="仿宋_GB2312" w:hAnsi="Times New Roman" w:eastAsia="仿宋_GB2312" w:cs="Times New Roman"/>
          <w:color w:val="auto"/>
          <w:sz w:val="32"/>
          <w:szCs w:val="22"/>
        </w:rPr>
        <w:t>人民政府报告大面积停电事件情况和应对情况;</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(4)发生跨</w:t>
      </w: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 xml:space="preserve">行政区域的大面积停电事件时, </w:t>
      </w: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人民政府按程序向</w:t>
      </w:r>
      <w:r>
        <w:rPr>
          <w:rFonts w:hint="eastAsia" w:ascii="仿宋_GB2312" w:hAnsi="Times New Roman" w:eastAsia="仿宋_GB2312" w:cs="Times New Roman"/>
          <w:color w:val="auto"/>
          <w:sz w:val="32"/>
          <w:szCs w:val="22"/>
          <w:lang w:val="en-US" w:eastAsia="zh-CN"/>
        </w:rPr>
        <w:t>自治区</w:t>
      </w:r>
      <w:r>
        <w:rPr>
          <w:rFonts w:hint="eastAsia" w:ascii="仿宋_GB2312" w:hAnsi="Times New Roman" w:eastAsia="仿宋_GB2312" w:cs="Times New Roman"/>
          <w:color w:val="auto"/>
          <w:sz w:val="32"/>
          <w:szCs w:val="22"/>
        </w:rPr>
        <w:t xml:space="preserve">报告, </w:t>
      </w: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大面积停电应急指挥部在</w:t>
      </w:r>
      <w:r>
        <w:rPr>
          <w:rFonts w:hint="eastAsia" w:ascii="仿宋_GB2312" w:hAnsi="Times New Roman" w:eastAsia="仿宋_GB2312" w:cs="Times New Roman"/>
          <w:color w:val="auto"/>
          <w:sz w:val="32"/>
          <w:szCs w:val="22"/>
          <w:lang w:val="en-US" w:eastAsia="zh-CN"/>
        </w:rPr>
        <w:t>自治区</w:t>
      </w:r>
      <w:r>
        <w:rPr>
          <w:rFonts w:hint="eastAsia" w:ascii="仿宋_GB2312" w:hAnsi="Times New Roman" w:eastAsia="仿宋_GB2312" w:cs="Times New Roman"/>
          <w:color w:val="auto"/>
          <w:sz w:val="32"/>
          <w:szCs w:val="22"/>
        </w:rPr>
        <w:t>处置大面积停电事件指挥机构的指导、协调和支持下, 开展大面积停电事件应对工作。</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大面积停电应急指挥部设立相应工作组, 各工作组组成及职责分工如下:</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(1)电力恢复组: 由</w:t>
      </w: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发展改革委和国网</w:t>
      </w:r>
      <w:r>
        <w:rPr>
          <w:rFonts w:hint="eastAsia" w:ascii="仿宋_GB2312" w:hAnsi="Times New Roman" w:eastAsia="仿宋_GB2312" w:cs="Times New Roman"/>
          <w:color w:val="auto"/>
          <w:sz w:val="32"/>
          <w:szCs w:val="22"/>
          <w:lang w:val="en-US" w:eastAsia="zh-CN"/>
        </w:rPr>
        <w:t>吴忠供电</w:t>
      </w:r>
      <w:r>
        <w:rPr>
          <w:rFonts w:hint="eastAsia" w:ascii="仿宋_GB2312" w:hAnsi="Times New Roman" w:eastAsia="仿宋_GB2312" w:cs="Times New Roman"/>
          <w:color w:val="auto"/>
          <w:sz w:val="32"/>
          <w:szCs w:val="22"/>
        </w:rPr>
        <w:t>公司</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lang w:val="en-US" w:eastAsia="zh-CN"/>
        </w:rPr>
        <w:t>国网宁东供电公司</w:t>
      </w:r>
      <w:r>
        <w:rPr>
          <w:rFonts w:hint="eastAsia" w:ascii="仿宋_GB2312" w:hAnsi="Times New Roman" w:eastAsia="仿宋_GB2312" w:cs="Times New Roman"/>
          <w:color w:val="auto"/>
          <w:sz w:val="32"/>
          <w:szCs w:val="22"/>
        </w:rPr>
        <w:t>牵头, 工信</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、公安</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、自然资源</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、交通运输</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、水</w:t>
      </w:r>
      <w:r>
        <w:rPr>
          <w:rFonts w:hint="eastAsia" w:ascii="仿宋_GB2312" w:hAnsi="Times New Roman" w:eastAsia="仿宋_GB2312" w:cs="Times New Roman"/>
          <w:color w:val="auto"/>
          <w:sz w:val="32"/>
          <w:szCs w:val="22"/>
          <w:lang w:val="en-US" w:eastAsia="zh-CN"/>
        </w:rPr>
        <w:t>务局</w:t>
      </w:r>
      <w:r>
        <w:rPr>
          <w:rFonts w:hint="eastAsia" w:ascii="仿宋_GB2312" w:hAnsi="Times New Roman" w:eastAsia="仿宋_GB2312" w:cs="Times New Roman"/>
          <w:color w:val="auto"/>
          <w:sz w:val="32"/>
          <w:szCs w:val="22"/>
        </w:rPr>
        <w:t>、应急</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、武警</w:t>
      </w:r>
      <w:r>
        <w:rPr>
          <w:rFonts w:hint="eastAsia" w:ascii="仿宋_GB2312" w:hAnsi="Times New Roman" w:eastAsia="仿宋_GB2312" w:cs="Times New Roman"/>
          <w:color w:val="auto"/>
          <w:sz w:val="32"/>
          <w:szCs w:val="22"/>
          <w:lang w:val="en-US" w:eastAsia="zh-CN"/>
        </w:rPr>
        <w:t>支</w:t>
      </w:r>
      <w:r>
        <w:rPr>
          <w:rFonts w:hint="eastAsia" w:ascii="仿宋_GB2312" w:hAnsi="Times New Roman" w:eastAsia="仿宋_GB2312" w:cs="Times New Roman"/>
          <w:color w:val="auto"/>
          <w:sz w:val="32"/>
          <w:szCs w:val="22"/>
        </w:rPr>
        <w:t>队、气象局、</w:t>
      </w:r>
      <w:r>
        <w:rPr>
          <w:rFonts w:hint="eastAsia" w:ascii="仿宋_GB2312" w:hAnsi="Times New Roman" w:eastAsia="仿宋_GB2312" w:cs="Times New Roman"/>
          <w:color w:val="auto"/>
          <w:sz w:val="32"/>
          <w:szCs w:val="22"/>
          <w:lang w:eastAsia="zh-CN"/>
        </w:rPr>
        <w:t>科技（地震）</w:t>
      </w:r>
      <w:r>
        <w:rPr>
          <w:rFonts w:hint="eastAsia" w:ascii="仿宋_GB2312" w:hAnsi="Times New Roman" w:eastAsia="仿宋_GB2312" w:cs="Times New Roman"/>
          <w:color w:val="auto"/>
          <w:sz w:val="32"/>
          <w:szCs w:val="22"/>
        </w:rPr>
        <w:t>局、</w:t>
      </w:r>
      <w:r>
        <w:rPr>
          <w:rFonts w:hint="eastAsia" w:ascii="仿宋_GB2312" w:hAnsi="Times New Roman" w:eastAsia="仿宋_GB2312" w:cs="Times New Roman"/>
          <w:color w:val="auto"/>
          <w:sz w:val="32"/>
          <w:szCs w:val="22"/>
          <w:lang w:val="en-US" w:eastAsia="zh-CN"/>
        </w:rPr>
        <w:t>无线电管理委员会吴忠管理处</w:t>
      </w:r>
      <w:r>
        <w:rPr>
          <w:rFonts w:hint="eastAsia" w:ascii="仿宋_GB2312" w:hAnsi="Times New Roman" w:eastAsia="仿宋_GB2312" w:cs="Times New Roman"/>
          <w:color w:val="auto"/>
          <w:sz w:val="32"/>
          <w:szCs w:val="22"/>
        </w:rPr>
        <w:t>、</w:t>
      </w:r>
      <w:r>
        <w:rPr>
          <w:rFonts w:hint="eastAsia" w:ascii="仿宋_GB2312" w:hAnsi="Times New Roman" w:eastAsia="仿宋_GB2312" w:cs="Times New Roman"/>
          <w:color w:val="auto"/>
          <w:sz w:val="32"/>
          <w:szCs w:val="22"/>
          <w:lang w:eastAsia="zh-CN"/>
        </w:rPr>
        <w:t>兰州</w:t>
      </w:r>
      <w:r>
        <w:rPr>
          <w:rFonts w:hint="eastAsia" w:ascii="仿宋_GB2312" w:hAnsi="Times New Roman" w:eastAsia="仿宋_GB2312" w:cs="Times New Roman"/>
          <w:color w:val="auto"/>
          <w:sz w:val="32"/>
          <w:szCs w:val="22"/>
        </w:rPr>
        <w:t>铁路局</w:t>
      </w:r>
      <w:r>
        <w:rPr>
          <w:rFonts w:hint="eastAsia" w:ascii="仿宋_GB2312" w:hAnsi="Times New Roman" w:eastAsia="仿宋_GB2312" w:cs="Times New Roman"/>
          <w:color w:val="auto"/>
          <w:sz w:val="32"/>
          <w:szCs w:val="22"/>
          <w:lang w:eastAsia="zh-CN"/>
        </w:rPr>
        <w:t>吴忠站</w:t>
      </w:r>
      <w:r>
        <w:rPr>
          <w:rFonts w:hint="eastAsia" w:ascii="仿宋_GB2312" w:hAnsi="Times New Roman" w:eastAsia="仿宋_GB2312" w:cs="Times New Roman"/>
          <w:color w:val="auto"/>
          <w:sz w:val="32"/>
          <w:szCs w:val="22"/>
        </w:rPr>
        <w:t>等组成, 视情增加其他电力企业。</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主要职责: 组织进行技术研判, 开展事态分析; 负责组织电力抢修恢复工作, 尽快恢复受影响区域供电工作; 负责重要用户、重点区域的临时供电保障; 负责组织电力应急抢修恢复协调工作; 必要时协调武警有关力量参与应对。</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(2)新闻宣传组: 由</w:t>
      </w:r>
      <w:r>
        <w:rPr>
          <w:rFonts w:hint="eastAsia" w:ascii="仿宋_GB2312" w:hAnsi="Times New Roman" w:eastAsia="仿宋_GB2312" w:cs="Times New Roman"/>
          <w:color w:val="auto"/>
          <w:sz w:val="32"/>
          <w:szCs w:val="22"/>
          <w:lang w:val="en-US" w:eastAsia="zh-CN"/>
        </w:rPr>
        <w:t>市</w:t>
      </w:r>
      <w:r>
        <w:rPr>
          <w:rFonts w:hint="eastAsia" w:ascii="仿宋_GB2312" w:hAnsi="Times New Roman" w:eastAsia="仿宋_GB2312" w:cs="Times New Roman"/>
          <w:color w:val="auto"/>
          <w:sz w:val="32"/>
          <w:szCs w:val="22"/>
        </w:rPr>
        <w:t>党委宣传部牵头, 网信办、发展改革委、工信</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、公安</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w:t>
      </w:r>
      <w:r>
        <w:rPr>
          <w:rFonts w:hint="eastAsia" w:ascii="仿宋_GB2312" w:hAnsi="Times New Roman" w:eastAsia="仿宋_GB2312" w:cs="Times New Roman"/>
          <w:color w:val="auto"/>
          <w:sz w:val="32"/>
          <w:szCs w:val="22"/>
          <w:lang w:val="en-US" w:eastAsia="zh-CN"/>
        </w:rPr>
        <w:t>文广</w:t>
      </w:r>
      <w:r>
        <w:rPr>
          <w:rFonts w:hint="eastAsia" w:ascii="仿宋_GB2312" w:hAnsi="Times New Roman" w:eastAsia="仿宋_GB2312" w:cs="Times New Roman"/>
          <w:color w:val="auto"/>
          <w:sz w:val="32"/>
          <w:szCs w:val="22"/>
        </w:rPr>
        <w:t>局、国网</w:t>
      </w:r>
      <w:r>
        <w:rPr>
          <w:rFonts w:hint="eastAsia" w:ascii="仿宋_GB2312" w:hAnsi="Times New Roman" w:eastAsia="仿宋_GB2312" w:cs="Times New Roman"/>
          <w:color w:val="auto"/>
          <w:sz w:val="32"/>
          <w:szCs w:val="22"/>
          <w:lang w:val="en-US" w:eastAsia="zh-CN"/>
        </w:rPr>
        <w:t>吴忠供电</w:t>
      </w:r>
      <w:r>
        <w:rPr>
          <w:rFonts w:hint="eastAsia" w:ascii="仿宋_GB2312" w:hAnsi="Times New Roman" w:eastAsia="仿宋_GB2312" w:cs="Times New Roman"/>
          <w:color w:val="auto"/>
          <w:sz w:val="32"/>
          <w:szCs w:val="22"/>
        </w:rPr>
        <w:t>公司</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lang w:val="en-US" w:eastAsia="zh-CN"/>
        </w:rPr>
        <w:t>国网宁东供电公司</w:t>
      </w:r>
      <w:r>
        <w:rPr>
          <w:rFonts w:hint="eastAsia" w:ascii="仿宋_GB2312" w:hAnsi="Times New Roman" w:eastAsia="仿宋_GB2312" w:cs="Times New Roman"/>
          <w:color w:val="auto"/>
          <w:sz w:val="32"/>
          <w:szCs w:val="22"/>
        </w:rPr>
        <w:t>等组成, 视情增加其他单位。</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主要职责: 组织开展事件进展、应急工作情况等权威信息发布, 加强新闻宣传报道; 收集分析舆情和社会关切, 加强媒体、电信和互联网管理, 正确引导舆论; 及时澄清不实信息, 回应社会关切。</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(3)综合保障组: 由</w:t>
      </w:r>
      <w:r>
        <w:rPr>
          <w:rFonts w:hint="eastAsia" w:ascii="仿宋_GB2312" w:hAnsi="Times New Roman" w:eastAsia="仿宋_GB2312" w:cs="Times New Roman"/>
          <w:color w:val="auto"/>
          <w:sz w:val="32"/>
          <w:szCs w:val="22"/>
          <w:lang w:val="en-US" w:eastAsia="zh-CN"/>
        </w:rPr>
        <w:t>市</w:t>
      </w:r>
      <w:r>
        <w:rPr>
          <w:rFonts w:hint="eastAsia" w:ascii="仿宋_GB2312" w:hAnsi="Times New Roman" w:eastAsia="仿宋_GB2312" w:cs="Times New Roman"/>
          <w:color w:val="auto"/>
          <w:sz w:val="32"/>
          <w:szCs w:val="22"/>
        </w:rPr>
        <w:t>发展改革委牵头, 工信</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、公安</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、民政</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、财政</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、自然资源</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、住建</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、交通运输</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、水</w:t>
      </w:r>
      <w:r>
        <w:rPr>
          <w:rFonts w:hint="eastAsia" w:ascii="仿宋_GB2312" w:hAnsi="Times New Roman" w:eastAsia="仿宋_GB2312" w:cs="Times New Roman"/>
          <w:color w:val="auto"/>
          <w:sz w:val="32"/>
          <w:szCs w:val="22"/>
          <w:lang w:val="en-US" w:eastAsia="zh-CN"/>
        </w:rPr>
        <w:t>务局</w:t>
      </w:r>
      <w:r>
        <w:rPr>
          <w:rFonts w:hint="eastAsia" w:ascii="仿宋_GB2312" w:hAnsi="Times New Roman" w:eastAsia="仿宋_GB2312" w:cs="Times New Roman"/>
          <w:color w:val="auto"/>
          <w:sz w:val="32"/>
          <w:szCs w:val="22"/>
        </w:rPr>
        <w:t>、商务</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、卫生健康委、应急</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、市场监管</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w:t>
      </w:r>
      <w:r>
        <w:rPr>
          <w:rFonts w:hint="eastAsia" w:ascii="仿宋_GB2312" w:hAnsi="Times New Roman" w:eastAsia="仿宋_GB2312" w:cs="Times New Roman"/>
          <w:color w:val="auto"/>
          <w:sz w:val="32"/>
          <w:szCs w:val="22"/>
          <w:lang w:val="en-US" w:eastAsia="zh-CN"/>
        </w:rPr>
        <w:t>文广</w:t>
      </w:r>
      <w:r>
        <w:rPr>
          <w:rFonts w:hint="eastAsia" w:ascii="仿宋_GB2312" w:hAnsi="Times New Roman" w:eastAsia="仿宋_GB2312" w:cs="Times New Roman"/>
          <w:color w:val="auto"/>
          <w:sz w:val="32"/>
          <w:szCs w:val="22"/>
        </w:rPr>
        <w:t>局、</w:t>
      </w:r>
      <w:r>
        <w:rPr>
          <w:rFonts w:hint="eastAsia" w:ascii="仿宋_GB2312" w:hAnsi="Times New Roman" w:eastAsia="仿宋_GB2312" w:cs="Times New Roman"/>
          <w:color w:val="auto"/>
          <w:sz w:val="32"/>
          <w:szCs w:val="22"/>
          <w:lang w:val="en-US" w:eastAsia="zh-CN"/>
        </w:rPr>
        <w:t>无线电管理委员会吴忠管理处</w:t>
      </w:r>
      <w:r>
        <w:rPr>
          <w:rFonts w:hint="eastAsia" w:ascii="仿宋_GB2312" w:hAnsi="Times New Roman" w:eastAsia="仿宋_GB2312" w:cs="Times New Roman"/>
          <w:color w:val="auto"/>
          <w:sz w:val="32"/>
          <w:szCs w:val="22"/>
        </w:rPr>
        <w:t>、</w:t>
      </w:r>
      <w:r>
        <w:rPr>
          <w:rFonts w:hint="eastAsia" w:ascii="仿宋_GB2312" w:hAnsi="Times New Roman" w:eastAsia="仿宋_GB2312" w:cs="Times New Roman"/>
          <w:color w:val="auto"/>
          <w:sz w:val="32"/>
          <w:szCs w:val="22"/>
          <w:lang w:eastAsia="zh-CN"/>
        </w:rPr>
        <w:t>兰州</w:t>
      </w:r>
      <w:r>
        <w:rPr>
          <w:rFonts w:hint="eastAsia" w:ascii="仿宋_GB2312" w:hAnsi="Times New Roman" w:eastAsia="仿宋_GB2312" w:cs="Times New Roman"/>
          <w:color w:val="auto"/>
          <w:sz w:val="32"/>
          <w:szCs w:val="22"/>
        </w:rPr>
        <w:t>铁路局</w:t>
      </w:r>
      <w:r>
        <w:rPr>
          <w:rFonts w:hint="eastAsia" w:ascii="仿宋_GB2312" w:hAnsi="Times New Roman" w:eastAsia="仿宋_GB2312" w:cs="Times New Roman"/>
          <w:color w:val="auto"/>
          <w:sz w:val="32"/>
          <w:szCs w:val="22"/>
          <w:lang w:eastAsia="zh-CN"/>
        </w:rPr>
        <w:t>吴忠站、</w:t>
      </w:r>
      <w:r>
        <w:rPr>
          <w:rFonts w:hint="eastAsia" w:ascii="仿宋_GB2312" w:hAnsi="Times New Roman" w:eastAsia="仿宋_GB2312" w:cs="Times New Roman"/>
          <w:color w:val="auto"/>
          <w:sz w:val="32"/>
          <w:szCs w:val="22"/>
        </w:rPr>
        <w:t>国网</w:t>
      </w:r>
      <w:r>
        <w:rPr>
          <w:rFonts w:hint="eastAsia" w:ascii="仿宋_GB2312" w:hAnsi="Times New Roman" w:eastAsia="仿宋_GB2312" w:cs="Times New Roman"/>
          <w:color w:val="auto"/>
          <w:sz w:val="32"/>
          <w:szCs w:val="22"/>
          <w:lang w:val="en-US" w:eastAsia="zh-CN"/>
        </w:rPr>
        <w:t>吴忠供电</w:t>
      </w:r>
      <w:r>
        <w:rPr>
          <w:rFonts w:hint="eastAsia" w:ascii="仿宋_GB2312" w:hAnsi="Times New Roman" w:eastAsia="仿宋_GB2312" w:cs="Times New Roman"/>
          <w:color w:val="auto"/>
          <w:sz w:val="32"/>
          <w:szCs w:val="22"/>
        </w:rPr>
        <w:t>公司</w:t>
      </w:r>
      <w:r>
        <w:rPr>
          <w:rFonts w:hint="eastAsia" w:ascii="仿宋_GB2312" w:hAnsi="Times New Roman" w:eastAsia="仿宋_GB2312" w:cs="Times New Roman"/>
          <w:color w:val="auto"/>
          <w:sz w:val="32"/>
          <w:szCs w:val="22"/>
          <w:lang w:eastAsia="zh-CN"/>
        </w:rPr>
        <w:t>、</w:t>
      </w:r>
      <w:r>
        <w:rPr>
          <w:rFonts w:hint="eastAsia" w:ascii="仿宋_GB2312" w:hAnsi="Times New Roman" w:eastAsia="仿宋_GB2312" w:cs="Times New Roman"/>
          <w:color w:val="auto"/>
          <w:sz w:val="32"/>
          <w:szCs w:val="22"/>
          <w:lang w:val="en-US" w:eastAsia="zh-CN"/>
        </w:rPr>
        <w:t>国网宁东供电公司</w:t>
      </w:r>
      <w:r>
        <w:rPr>
          <w:rFonts w:hint="eastAsia" w:ascii="仿宋_GB2312" w:hAnsi="Times New Roman" w:eastAsia="仿宋_GB2312" w:cs="Times New Roman"/>
          <w:color w:val="auto"/>
          <w:sz w:val="32"/>
          <w:szCs w:val="22"/>
        </w:rPr>
        <w:t>、粮食和储备局等组成, 视情增加其他单位和企业。</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主要职责: 对大面积停电事件受灾情况进行核实, 指导恢复电力抢修方案编制, 落实人员、资金和物资; 组织做好应急救援物资及生产生活物资的紧急生产、储备调拨和紧急配送工作; 及时组织调运重要生活必需品, 保障群众基本生活和市场供应; 维护供水、供气、供热、通信、广播电视等设施正常运行; 维护铁路、道路、水路等基本交通运行; 对符合条件的受事件影响群众实施基本生活救助, 配合做好伤亡人员的善后处理; 组织开展事件处置评估。</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(4)社会稳定组: 由</w:t>
      </w:r>
      <w:r>
        <w:rPr>
          <w:rFonts w:hint="eastAsia" w:ascii="仿宋_GB2312" w:hAnsi="Times New Roman" w:eastAsia="仿宋_GB2312" w:cs="Times New Roman"/>
          <w:color w:val="auto"/>
          <w:sz w:val="32"/>
          <w:szCs w:val="22"/>
          <w:lang w:val="en-US" w:eastAsia="zh-CN"/>
        </w:rPr>
        <w:t>市</w:t>
      </w:r>
      <w:r>
        <w:rPr>
          <w:rFonts w:hint="eastAsia" w:ascii="仿宋_GB2312" w:hAnsi="Times New Roman" w:eastAsia="仿宋_GB2312" w:cs="Times New Roman"/>
          <w:color w:val="auto"/>
          <w:sz w:val="32"/>
          <w:szCs w:val="22"/>
        </w:rPr>
        <w:t>公安</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牵头, 网信办、工</w:t>
      </w:r>
      <w:r>
        <w:rPr>
          <w:rFonts w:hint="eastAsia" w:ascii="仿宋_GB2312" w:hAnsi="Times New Roman" w:eastAsia="仿宋_GB2312" w:cs="Times New Roman"/>
          <w:color w:val="auto"/>
          <w:sz w:val="32"/>
          <w:szCs w:val="22"/>
          <w:lang w:val="en-US" w:eastAsia="zh-CN"/>
        </w:rPr>
        <w:t>信局</w:t>
      </w:r>
      <w:r>
        <w:rPr>
          <w:rFonts w:hint="eastAsia" w:ascii="仿宋_GB2312" w:hAnsi="Times New Roman" w:eastAsia="仿宋_GB2312" w:cs="Times New Roman"/>
          <w:color w:val="auto"/>
          <w:sz w:val="32"/>
          <w:szCs w:val="22"/>
        </w:rPr>
        <w:t>、民政</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、交通运输</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、商务</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、应急</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、市场监管</w:t>
      </w:r>
      <w:r>
        <w:rPr>
          <w:rFonts w:hint="eastAsia" w:ascii="仿宋_GB2312" w:hAnsi="Times New Roman" w:eastAsia="仿宋_GB2312" w:cs="Times New Roman"/>
          <w:color w:val="auto"/>
          <w:sz w:val="32"/>
          <w:szCs w:val="22"/>
          <w:lang w:val="en-US" w:eastAsia="zh-CN"/>
        </w:rPr>
        <w:t>局</w:t>
      </w:r>
      <w:r>
        <w:rPr>
          <w:rFonts w:hint="eastAsia" w:ascii="仿宋_GB2312" w:hAnsi="Times New Roman" w:eastAsia="仿宋_GB2312" w:cs="Times New Roman"/>
          <w:color w:val="auto"/>
          <w:sz w:val="32"/>
          <w:szCs w:val="22"/>
        </w:rPr>
        <w:t>、</w:t>
      </w:r>
      <w:r>
        <w:rPr>
          <w:rFonts w:hint="eastAsia" w:ascii="仿宋_GB2312" w:hAnsi="Times New Roman" w:eastAsia="仿宋_GB2312" w:cs="Times New Roman"/>
          <w:color w:val="auto"/>
          <w:sz w:val="32"/>
          <w:szCs w:val="22"/>
          <w:lang w:val="en-US" w:eastAsia="zh-CN"/>
        </w:rPr>
        <w:t>武</w:t>
      </w:r>
      <w:r>
        <w:rPr>
          <w:rFonts w:hint="eastAsia" w:ascii="仿宋_GB2312" w:hAnsi="Times New Roman" w:eastAsia="仿宋_GB2312" w:cs="Times New Roman"/>
          <w:color w:val="auto"/>
          <w:sz w:val="32"/>
          <w:szCs w:val="22"/>
        </w:rPr>
        <w:t>警</w:t>
      </w:r>
      <w:r>
        <w:rPr>
          <w:rFonts w:hint="eastAsia" w:ascii="仿宋_GB2312" w:hAnsi="Times New Roman" w:eastAsia="仿宋_GB2312" w:cs="Times New Roman"/>
          <w:color w:val="auto"/>
          <w:sz w:val="32"/>
          <w:szCs w:val="22"/>
          <w:lang w:val="en-US" w:eastAsia="zh-CN"/>
        </w:rPr>
        <w:t>支</w:t>
      </w:r>
      <w:r>
        <w:rPr>
          <w:rFonts w:hint="eastAsia" w:ascii="仿宋_GB2312" w:hAnsi="Times New Roman" w:eastAsia="仿宋_GB2312" w:cs="Times New Roman"/>
          <w:color w:val="auto"/>
          <w:sz w:val="32"/>
          <w:szCs w:val="22"/>
        </w:rPr>
        <w:t>队等组成, 视情增加其他单位。</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主要职责: 加强受影响地区社会治安管理, 严厉打击借机传播谣言制造社会恐慌, 以及趁机盗窃、抢劫、哄抢等违法犯罪行为; 加强转移人员安置点、救灾物资存放点等重点地区治安管控; 加强对重要生活必需品等商品的市场监管和调控, 打击囤积居奇行为; 加强对重点区域、重点单位的警戒, 切实维护社会稳定。</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en-US"/>
        </w:rPr>
      </w:pPr>
      <w:bookmarkStart w:id="9" w:name="_Toc31851"/>
      <w:r>
        <w:rPr>
          <w:rFonts w:hint="eastAsia" w:ascii="仿宋_GB2312" w:hAnsi="Times New Roman" w:eastAsia="仿宋_GB2312" w:cs="Times New Roman"/>
          <w:b/>
          <w:color w:val="auto"/>
          <w:kern w:val="44"/>
          <w:sz w:val="32"/>
          <w:szCs w:val="22"/>
          <w:lang w:val="en-US"/>
        </w:rPr>
        <w:t xml:space="preserve">2.3 </w:t>
      </w:r>
      <w:r>
        <w:rPr>
          <w:rFonts w:hint="eastAsia" w:ascii="仿宋_GB2312" w:hAnsi="Times New Roman" w:eastAsia="仿宋_GB2312" w:cs="Times New Roman"/>
          <w:b/>
          <w:color w:val="auto"/>
          <w:kern w:val="44"/>
          <w:sz w:val="32"/>
          <w:szCs w:val="22"/>
          <w:lang w:val="en-US" w:eastAsia="zh-CN"/>
        </w:rPr>
        <w:t>吴忠市</w:t>
      </w:r>
      <w:r>
        <w:rPr>
          <w:rFonts w:hint="eastAsia" w:ascii="仿宋_GB2312" w:hAnsi="Times New Roman" w:eastAsia="仿宋_GB2312" w:cs="Times New Roman"/>
          <w:b/>
          <w:color w:val="auto"/>
          <w:kern w:val="44"/>
          <w:sz w:val="32"/>
          <w:szCs w:val="22"/>
          <w:lang w:val="en-US"/>
        </w:rPr>
        <w:t>大面积停电应急指挥部办公室及职责</w:t>
      </w:r>
      <w:bookmarkEnd w:id="9"/>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大面积停电应急指挥部办公室设在</w:t>
      </w:r>
      <w:r>
        <w:rPr>
          <w:rFonts w:hint="eastAsia" w:ascii="仿宋_GB2312" w:hAnsi="Times New Roman" w:eastAsia="仿宋_GB2312" w:cs="Times New Roman"/>
          <w:color w:val="auto"/>
          <w:sz w:val="32"/>
          <w:szCs w:val="22"/>
          <w:lang w:val="en-US" w:eastAsia="zh-CN"/>
        </w:rPr>
        <w:t>市</w:t>
      </w:r>
      <w:r>
        <w:rPr>
          <w:rFonts w:hint="eastAsia" w:ascii="仿宋_GB2312" w:hAnsi="Times New Roman" w:eastAsia="仿宋_GB2312" w:cs="Times New Roman"/>
          <w:color w:val="auto"/>
          <w:sz w:val="32"/>
          <w:szCs w:val="22"/>
        </w:rPr>
        <w:t>发展改革委, 办公室主任由</w:t>
      </w:r>
      <w:r>
        <w:rPr>
          <w:rFonts w:hint="eastAsia" w:ascii="仿宋_GB2312" w:hAnsi="Times New Roman" w:eastAsia="仿宋_GB2312" w:cs="Times New Roman"/>
          <w:color w:val="auto"/>
          <w:sz w:val="32"/>
          <w:szCs w:val="22"/>
          <w:lang w:val="en-US" w:eastAsia="zh-CN"/>
        </w:rPr>
        <w:t>市</w:t>
      </w:r>
      <w:r>
        <w:rPr>
          <w:rFonts w:hint="eastAsia" w:ascii="仿宋_GB2312" w:hAnsi="Times New Roman" w:eastAsia="仿宋_GB2312" w:cs="Times New Roman"/>
          <w:color w:val="auto"/>
          <w:sz w:val="32"/>
          <w:szCs w:val="22"/>
        </w:rPr>
        <w:t>发展改革委主任兼任。</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大面积停电应急指挥部办公室主要职责: 落实</w:t>
      </w: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大面积停电应急指挥部部署的各项任务和下达的应急指令; 组织起草、制定和修订应急预案, 并监督执行; 组织研判、核实大面积停电预警信息, 并对事件性质和类别作出初步认定后向上级电力运行主管部门和</w:t>
      </w: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人民政府及时报告; 掌握应急处理和供电恢复情况, 及时报告大面积停电事件处置有关工作; 负责有关信息的发布。</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en-US"/>
        </w:rPr>
      </w:pPr>
      <w:bookmarkStart w:id="10" w:name="_Toc27440"/>
      <w:r>
        <w:rPr>
          <w:rFonts w:hint="eastAsia" w:ascii="仿宋_GB2312" w:hAnsi="Times New Roman" w:eastAsia="仿宋_GB2312" w:cs="Times New Roman"/>
          <w:b/>
          <w:color w:val="auto"/>
          <w:kern w:val="44"/>
          <w:sz w:val="32"/>
          <w:szCs w:val="22"/>
          <w:lang w:val="en-US"/>
        </w:rPr>
        <w:t>2.4 县(区)层面应急指挥机构</w:t>
      </w:r>
      <w:bookmarkEnd w:id="10"/>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各县(区)人民政府要参照本预案, 结合实际制定本行</w:t>
      </w:r>
      <w:r>
        <w:rPr>
          <w:rFonts w:hint="eastAsia" w:ascii="仿宋_GB2312" w:hAnsi="Times New Roman" w:eastAsia="仿宋_GB2312" w:cs="Times New Roman"/>
          <w:color w:val="auto"/>
          <w:sz w:val="32"/>
          <w:szCs w:val="22"/>
          <w:lang w:val="en-US" w:eastAsia="zh-CN"/>
        </w:rPr>
        <w:t>政区域大面积停电事件应急预案, 成立应急指挥机构, 负责指</w:t>
      </w:r>
      <w:r>
        <w:rPr>
          <w:rFonts w:hint="eastAsia" w:ascii="仿宋_GB2312" w:hAnsi="Times New Roman" w:eastAsia="仿宋_GB2312" w:cs="Times New Roman"/>
          <w:color w:val="auto"/>
          <w:sz w:val="32"/>
          <w:szCs w:val="22"/>
        </w:rPr>
        <w:t>挥、协调本行政区域内大面积停电事件应对工作, 建立和完善应急救援与处置联动机制。</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发生跨行政区域的大面积停电事件时, 有关县(区)人民政府应根据需要建立跨区域大面积停电事件应急联动机制。</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en-US"/>
        </w:rPr>
      </w:pPr>
      <w:bookmarkStart w:id="11" w:name="_Toc24341"/>
      <w:r>
        <w:rPr>
          <w:rFonts w:hint="eastAsia" w:ascii="仿宋_GB2312" w:hAnsi="Times New Roman" w:eastAsia="仿宋_GB2312" w:cs="Times New Roman"/>
          <w:b/>
          <w:color w:val="auto"/>
          <w:kern w:val="44"/>
          <w:sz w:val="32"/>
          <w:szCs w:val="22"/>
          <w:lang w:val="en-US"/>
        </w:rPr>
        <w:t>2.5 现场指挥机构及职责</w:t>
      </w:r>
      <w:bookmarkEnd w:id="11"/>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lang w:val="en-US" w:eastAsia="zh-CN"/>
        </w:rPr>
        <w:t>吴忠</w:t>
      </w:r>
      <w:r>
        <w:rPr>
          <w:rFonts w:hint="eastAsia" w:ascii="仿宋_GB2312" w:hAnsi="Times New Roman" w:eastAsia="仿宋_GB2312" w:cs="Times New Roman"/>
          <w:color w:val="auto"/>
          <w:sz w:val="32"/>
          <w:szCs w:val="22"/>
        </w:rPr>
        <w:t>市、县(区)人民政府根据需要成立大面积停电事件处置现场指挥机构, 负责现场组织指挥工作, 参与现场处置的有关单位和人员应服从现场指挥机构的统一指挥。</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现场指挥机构职责: 负责大面积停电事件应急处置现场组织指挥工作, 协调各成员单位按响应措施开展电网恢复、保障民生、维护稳定、舆情处置等工作, 向各级应急指挥部汇报现场应急处置情况。</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en-US"/>
        </w:rPr>
      </w:pPr>
      <w:bookmarkStart w:id="12" w:name="_Toc24889"/>
      <w:r>
        <w:rPr>
          <w:rFonts w:hint="eastAsia" w:ascii="仿宋_GB2312" w:hAnsi="Times New Roman" w:eastAsia="仿宋_GB2312" w:cs="Times New Roman"/>
          <w:b/>
          <w:color w:val="auto"/>
          <w:kern w:val="44"/>
          <w:sz w:val="32"/>
          <w:szCs w:val="22"/>
          <w:lang w:val="en-US"/>
        </w:rPr>
        <w:t>2.6 电力企业</w:t>
      </w:r>
      <w:bookmarkEnd w:id="12"/>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各电力企业要成立应对大面积停电应急指挥机构, 在各级应</w:t>
      </w:r>
      <w:r>
        <w:rPr>
          <w:rFonts w:hint="eastAsia" w:ascii="仿宋_GB2312" w:hAnsi="Times New Roman" w:eastAsia="仿宋_GB2312" w:cs="Times New Roman"/>
          <w:color w:val="auto"/>
          <w:sz w:val="32"/>
          <w:szCs w:val="22"/>
          <w:lang w:val="en-US" w:eastAsia="zh-CN"/>
        </w:rPr>
        <w:t>急指挥部领导下开展大面积停电事件应对工作,</w:t>
      </w:r>
      <w:r>
        <w:rPr>
          <w:rFonts w:hint="eastAsia" w:ascii="仿宋_GB2312" w:hAnsi="Times New Roman" w:eastAsia="仿宋_GB2312" w:cs="Times New Roman"/>
          <w:color w:val="auto"/>
          <w:sz w:val="32"/>
          <w:szCs w:val="22"/>
          <w:lang w:eastAsia="zh-CN"/>
        </w:rPr>
        <w:t>国网吴忠供电公司、国网宁东供电公司（盐池县）负责所辖供电区大面积停电事件的应对处置，</w:t>
      </w:r>
      <w:r>
        <w:rPr>
          <w:rFonts w:hint="eastAsia" w:ascii="仿宋_GB2312" w:hAnsi="Times New Roman" w:eastAsia="仿宋_GB2312" w:cs="Times New Roman"/>
          <w:color w:val="auto"/>
          <w:sz w:val="32"/>
          <w:szCs w:val="22"/>
          <w:lang w:val="en-US" w:eastAsia="zh-CN"/>
        </w:rPr>
        <w:t xml:space="preserve"> 电网调度工作按</w:t>
      </w:r>
      <w:r>
        <w:rPr>
          <w:rFonts w:hint="eastAsia" w:ascii="仿宋_GB2312" w:hAnsi="Times New Roman" w:eastAsia="仿宋_GB2312" w:cs="Times New Roman"/>
          <w:color w:val="auto"/>
          <w:sz w:val="32"/>
          <w:szCs w:val="22"/>
        </w:rPr>
        <w:t>照《电网调度管理条例》及有关规程执行。</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en-US"/>
        </w:rPr>
      </w:pPr>
      <w:bookmarkStart w:id="13" w:name="_Toc9737"/>
      <w:r>
        <w:rPr>
          <w:rFonts w:hint="eastAsia" w:ascii="仿宋_GB2312" w:hAnsi="Times New Roman" w:eastAsia="仿宋_GB2312" w:cs="Times New Roman"/>
          <w:b/>
          <w:color w:val="auto"/>
          <w:kern w:val="44"/>
          <w:sz w:val="32"/>
          <w:szCs w:val="22"/>
          <w:lang w:val="en-US"/>
        </w:rPr>
        <w:t>2.7 重要电力用户</w:t>
      </w:r>
      <w:bookmarkEnd w:id="13"/>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rPr>
        <w:t>依据事件发展, 启用自备应急电源和保安电源, 并做好生产调整等工作。</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en-US"/>
        </w:rPr>
      </w:pPr>
      <w:bookmarkStart w:id="14" w:name="_Toc2004"/>
      <w:r>
        <w:rPr>
          <w:rFonts w:hint="eastAsia" w:ascii="仿宋_GB2312" w:hAnsi="Times New Roman" w:eastAsia="仿宋_GB2312" w:cs="Times New Roman"/>
          <w:b/>
          <w:color w:val="auto"/>
          <w:kern w:val="44"/>
          <w:sz w:val="32"/>
          <w:szCs w:val="22"/>
          <w:lang w:val="en-US"/>
        </w:rPr>
        <w:t>2.8 信息联络员</w:t>
      </w:r>
      <w:bookmarkEnd w:id="14"/>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rPr>
      </w:pP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大面积停电应急指挥部各成员单位要确定1名联络</w:t>
      </w:r>
      <w:r>
        <w:rPr>
          <w:rFonts w:hint="eastAsia" w:ascii="仿宋_GB2312" w:hAnsi="Times New Roman" w:eastAsia="仿宋_GB2312" w:cs="Times New Roman"/>
          <w:color w:val="auto"/>
          <w:sz w:val="32"/>
          <w:szCs w:val="22"/>
          <w:lang w:val="en-US" w:eastAsia="zh-CN"/>
        </w:rPr>
        <w:t>员, 具体负责信息沟通、业务协调、指令传达等工作, 联络员变</w:t>
      </w:r>
      <w:r>
        <w:rPr>
          <w:rFonts w:hint="eastAsia" w:ascii="仿宋_GB2312" w:hAnsi="Times New Roman" w:eastAsia="仿宋_GB2312" w:cs="Times New Roman"/>
          <w:color w:val="auto"/>
          <w:sz w:val="32"/>
          <w:szCs w:val="22"/>
        </w:rPr>
        <w:t>更要及时告知</w:t>
      </w:r>
      <w:r>
        <w:rPr>
          <w:rFonts w:hint="eastAsia" w:ascii="仿宋_GB2312" w:hAnsi="Times New Roman" w:eastAsia="仿宋_GB2312" w:cs="Times New Roman"/>
          <w:color w:val="auto"/>
          <w:sz w:val="32"/>
          <w:szCs w:val="22"/>
          <w:lang w:val="en-US" w:eastAsia="zh-CN"/>
        </w:rPr>
        <w:t>吴忠市</w:t>
      </w:r>
      <w:r>
        <w:rPr>
          <w:rFonts w:hint="eastAsia" w:ascii="仿宋_GB2312" w:hAnsi="Times New Roman" w:eastAsia="仿宋_GB2312" w:cs="Times New Roman"/>
          <w:color w:val="auto"/>
          <w:sz w:val="32"/>
          <w:szCs w:val="22"/>
        </w:rPr>
        <w:t>大面积停电应急指挥部办公室。</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en-US"/>
        </w:rPr>
      </w:pPr>
      <w:bookmarkStart w:id="15" w:name="_Toc23532"/>
      <w:r>
        <w:rPr>
          <w:rFonts w:hint="eastAsia" w:ascii="仿宋_GB2312" w:hAnsi="Times New Roman" w:eastAsia="仿宋_GB2312" w:cs="Times New Roman"/>
          <w:b/>
          <w:color w:val="auto"/>
          <w:kern w:val="44"/>
          <w:sz w:val="32"/>
          <w:szCs w:val="22"/>
          <w:lang w:val="en-US"/>
        </w:rPr>
        <w:t>2.9 专家组</w:t>
      </w:r>
      <w:bookmarkEnd w:id="15"/>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eastAsia="zh-CN"/>
        </w:rPr>
      </w:pPr>
      <w:r>
        <w:rPr>
          <w:rFonts w:hint="eastAsia" w:ascii="仿宋_GB2312" w:hAnsi="Times New Roman" w:eastAsia="仿宋_GB2312" w:cs="Times New Roman"/>
          <w:color w:val="auto"/>
          <w:sz w:val="32"/>
          <w:szCs w:val="22"/>
          <w:lang w:val="en-US" w:eastAsia="zh-CN"/>
        </w:rPr>
        <w:t>各级组织指挥机构根据需要成立大面积停电事件应急专家组, 成员由电力、气象、地质、地震、水文等领域相关专家组成, 对大面积停电事件应对工作提供技术咨询和建议。各电力企业根据实际情况成立大面积停电事件应急专家组。</w:t>
      </w:r>
    </w:p>
    <w:p>
      <w:pPr>
        <w:pStyle w:val="2"/>
        <w:keepNext w:val="0"/>
        <w:keepLines w:val="0"/>
        <w:spacing w:before="78" w:beforeLines="25" w:after="78" w:afterLines="25"/>
        <w:ind w:firstLine="642" w:firstLineChars="200"/>
        <w:rPr>
          <w:rFonts w:hint="eastAsia" w:ascii="黑体" w:hAnsi="黑体" w:cs="Times New Roman"/>
          <w:b/>
          <w:color w:val="auto"/>
          <w:sz w:val="32"/>
          <w:szCs w:val="22"/>
          <w:lang w:val="zh-CN"/>
        </w:rPr>
      </w:pPr>
      <w:bookmarkStart w:id="16" w:name="_Toc5289"/>
      <w:r>
        <w:rPr>
          <w:rFonts w:hint="eastAsia" w:ascii="黑体" w:hAnsi="黑体" w:cs="Times New Roman"/>
          <w:b/>
          <w:color w:val="auto"/>
          <w:sz w:val="32"/>
          <w:szCs w:val="22"/>
          <w:lang w:val="zh-CN"/>
        </w:rPr>
        <w:t>3监测预警和信息报告</w:t>
      </w:r>
      <w:bookmarkEnd w:id="16"/>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en-US"/>
        </w:rPr>
      </w:pPr>
      <w:bookmarkStart w:id="17" w:name="_Toc10007"/>
      <w:r>
        <w:rPr>
          <w:rFonts w:hint="eastAsia" w:ascii="仿宋_GB2312" w:hAnsi="Times New Roman" w:eastAsia="仿宋_GB2312" w:cs="Times New Roman"/>
          <w:b/>
          <w:color w:val="auto"/>
          <w:kern w:val="44"/>
          <w:sz w:val="32"/>
          <w:szCs w:val="22"/>
          <w:lang w:val="zh-CN"/>
        </w:rPr>
        <w:t>3.1</w:t>
      </w:r>
      <w:r>
        <w:rPr>
          <w:rFonts w:hint="eastAsia" w:ascii="仿宋_GB2312" w:hAnsi="Times New Roman" w:eastAsia="仿宋_GB2312" w:cs="Times New Roman"/>
          <w:b/>
          <w:color w:val="auto"/>
          <w:kern w:val="44"/>
          <w:sz w:val="32"/>
          <w:szCs w:val="22"/>
          <w:lang w:val="en-US"/>
        </w:rPr>
        <w:t xml:space="preserve"> 监测和风险分析</w:t>
      </w:r>
      <w:bookmarkEnd w:id="17"/>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eastAsia="zh-CN"/>
        </w:rPr>
      </w:pPr>
      <w:r>
        <w:rPr>
          <w:rFonts w:hint="eastAsia" w:ascii="仿宋_GB2312" w:hAnsi="Times New Roman" w:eastAsia="仿宋_GB2312" w:cs="Times New Roman"/>
          <w:color w:val="auto"/>
          <w:sz w:val="32"/>
          <w:szCs w:val="22"/>
          <w:lang w:val="en-US" w:eastAsia="zh-CN"/>
        </w:rPr>
        <w:t>吴忠市内各电力企业和重要电力用户要结合实际加强对重要电力</w:t>
      </w:r>
      <w:r>
        <w:rPr>
          <w:rFonts w:hint="default" w:ascii="仿宋_GB2312" w:hAnsi="Times New Roman" w:eastAsia="仿宋_GB2312" w:cs="Times New Roman"/>
          <w:color w:val="auto"/>
          <w:sz w:val="32"/>
          <w:szCs w:val="22"/>
          <w:lang w:val="en-US" w:eastAsia="zh-CN"/>
        </w:rPr>
        <w:t>设施设备运行等情况的监测</w:t>
      </w:r>
      <w:r>
        <w:rPr>
          <w:rFonts w:hint="eastAsia" w:ascii="仿宋_GB2312" w:hAnsi="Times New Roman" w:eastAsia="仿宋_GB2312" w:cs="Times New Roman"/>
          <w:color w:val="auto"/>
          <w:sz w:val="32"/>
          <w:szCs w:val="22"/>
          <w:lang w:val="en-US" w:eastAsia="zh-CN"/>
        </w:rPr>
        <w:t xml:space="preserve">, </w:t>
      </w:r>
      <w:r>
        <w:rPr>
          <w:rFonts w:hint="default" w:ascii="仿宋_GB2312" w:hAnsi="Times New Roman" w:eastAsia="仿宋_GB2312" w:cs="Times New Roman"/>
          <w:color w:val="auto"/>
          <w:sz w:val="32"/>
          <w:szCs w:val="22"/>
          <w:lang w:val="en-US" w:eastAsia="zh-CN"/>
        </w:rPr>
        <w:t>建立与能源监管、气象、水利、自然资源、地震、公安、交通运输、林业等部门的信息共享机制,及时分析各类情况对电力运行可能造成的影响, 预估可能影响的范围和程度。公安、交通运输、自然资源、气象、水利、林业、地震等部门应将涉及电网安全的相关内容纳入日常监测范围, 划分自然灾害易发区, 加强预报预测和信息共享协同机制, 提高灾害预测和突发事件预警处置能力。</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eastAsia="zh-CN"/>
        </w:rPr>
        <w:t>重要用户做好安全风险辨识、自备应急</w:t>
      </w:r>
      <w:r>
        <w:rPr>
          <w:rFonts w:hint="default" w:ascii="仿宋_GB2312" w:hAnsi="Times New Roman" w:eastAsia="仿宋_GB2312" w:cs="Times New Roman"/>
          <w:color w:val="auto"/>
          <w:sz w:val="32"/>
          <w:szCs w:val="22"/>
          <w:lang w:val="en-US"/>
        </w:rPr>
        <w:t>电源和保安电源配置及日常维护, 确保在发生大面积停电时能够正常启用。</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各级行业主管部门应加强对道路、桥梁、市政等建设工地的监管, 依法加强电力设施保护工作, 杜绝因外力破坏导致大面积</w:t>
      </w:r>
      <w:r>
        <w:rPr>
          <w:rFonts w:hint="eastAsia" w:ascii="仿宋_GB2312" w:hAnsi="Times New Roman" w:eastAsia="仿宋_GB2312" w:cs="Times New Roman"/>
          <w:color w:val="auto"/>
          <w:sz w:val="32"/>
          <w:szCs w:val="22"/>
          <w:lang w:val="en-US"/>
        </w:rPr>
        <w:t>停电事件的发生。</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zh-CN" w:eastAsia="zh-CN"/>
        </w:rPr>
      </w:pPr>
      <w:bookmarkStart w:id="18" w:name="_Toc26315"/>
      <w:r>
        <w:rPr>
          <w:rFonts w:hint="eastAsia" w:ascii="仿宋_GB2312" w:hAnsi="Times New Roman" w:eastAsia="仿宋_GB2312" w:cs="Times New Roman"/>
          <w:b/>
          <w:color w:val="auto"/>
          <w:kern w:val="44"/>
          <w:sz w:val="32"/>
          <w:szCs w:val="22"/>
          <w:lang w:val="zh-CN" w:eastAsia="zh-CN"/>
        </w:rPr>
        <w:t>3.</w:t>
      </w:r>
      <w:r>
        <w:rPr>
          <w:rFonts w:hint="eastAsia" w:ascii="仿宋_GB2312" w:hAnsi="Times New Roman" w:eastAsia="仿宋_GB2312" w:cs="Times New Roman"/>
          <w:b/>
          <w:color w:val="auto"/>
          <w:kern w:val="44"/>
          <w:sz w:val="32"/>
          <w:szCs w:val="22"/>
          <w:lang w:val="en-US" w:eastAsia="zh-CN"/>
        </w:rPr>
        <w:t>2</w:t>
      </w:r>
      <w:r>
        <w:rPr>
          <w:rFonts w:hint="eastAsia" w:ascii="仿宋_GB2312" w:hAnsi="Times New Roman" w:eastAsia="仿宋_GB2312" w:cs="Times New Roman"/>
          <w:b/>
          <w:color w:val="auto"/>
          <w:kern w:val="44"/>
          <w:sz w:val="32"/>
          <w:szCs w:val="22"/>
          <w:lang w:val="zh-CN" w:eastAsia="zh-CN"/>
        </w:rPr>
        <w:t>预警</w:t>
      </w:r>
      <w:bookmarkEnd w:id="18"/>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eastAsia="zh-CN"/>
        </w:rPr>
      </w:pPr>
      <w:r>
        <w:rPr>
          <w:rFonts w:hint="eastAsia" w:ascii="仿宋_GB2312" w:hAnsi="Times New Roman" w:eastAsia="仿宋_GB2312" w:cs="Times New Roman"/>
          <w:color w:val="auto"/>
          <w:sz w:val="32"/>
          <w:szCs w:val="22"/>
          <w:lang w:val="en-US" w:eastAsia="zh-CN"/>
        </w:rPr>
        <w:t>3.2.1 预警分级</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eastAsia="zh-CN"/>
        </w:rPr>
      </w:pPr>
      <w:r>
        <w:rPr>
          <w:rFonts w:hint="default" w:ascii="仿宋_GB2312" w:hAnsi="Times New Roman" w:eastAsia="仿宋_GB2312" w:cs="Times New Roman"/>
          <w:color w:val="auto"/>
          <w:sz w:val="32"/>
          <w:szCs w:val="22"/>
          <w:lang w:val="en-US" w:eastAsia="zh-CN"/>
        </w:rPr>
        <w:t>电网大面积停电风险预警分为红色</w:t>
      </w:r>
      <w:r>
        <w:rPr>
          <w:rFonts w:hint="eastAsia" w:ascii="仿宋_GB2312" w:hAnsi="Times New Roman" w:eastAsia="仿宋_GB2312" w:cs="Times New Roman"/>
          <w:color w:val="auto"/>
          <w:sz w:val="32"/>
          <w:szCs w:val="22"/>
          <w:lang w:val="en-US" w:eastAsia="zh-CN"/>
        </w:rPr>
        <w:t>、</w:t>
      </w:r>
      <w:r>
        <w:rPr>
          <w:rFonts w:hint="default" w:ascii="仿宋_GB2312" w:hAnsi="Times New Roman" w:eastAsia="仿宋_GB2312" w:cs="Times New Roman"/>
          <w:color w:val="auto"/>
          <w:sz w:val="32"/>
          <w:szCs w:val="22"/>
          <w:lang w:val="en-US" w:eastAsia="zh-CN"/>
        </w:rPr>
        <w:t>橙色、黄色和蓝色四种, 分别对应</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eastAsia="zh-CN"/>
        </w:rPr>
        <w:t>大面积停电事件分级标准中的特别重大、重大、较大和一般四级。各有关部门、电力企业及重要电力用户接到预警后应立即启动相应等级的应急准备, 落实各项预警控制措施。期间, 大面积停电预警级别调整按照“谁发布、谁调整”的原则处理。</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eastAsia="zh-CN"/>
        </w:rPr>
      </w:pPr>
      <w:r>
        <w:rPr>
          <w:rFonts w:hint="eastAsia" w:ascii="仿宋_GB2312" w:hAnsi="Times New Roman" w:eastAsia="仿宋_GB2312" w:cs="Times New Roman"/>
          <w:color w:val="auto"/>
          <w:sz w:val="32"/>
          <w:szCs w:val="22"/>
          <w:lang w:val="en-US" w:eastAsia="zh-CN"/>
        </w:rPr>
        <w:t>3.2.2预警信息发布</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eastAsia="zh-CN"/>
        </w:rPr>
      </w:pPr>
      <w:r>
        <w:rPr>
          <w:rFonts w:hint="eastAsia" w:ascii="仿宋_GB2312" w:hAnsi="Times New Roman" w:eastAsia="仿宋_GB2312" w:cs="Times New Roman"/>
          <w:color w:val="auto"/>
          <w:sz w:val="32"/>
          <w:szCs w:val="22"/>
          <w:lang w:val="en-US" w:eastAsia="zh-CN"/>
        </w:rPr>
        <w:t xml:space="preserve">电力企业研判可能造成大面积停电事件时, </w:t>
      </w:r>
      <w:r>
        <w:rPr>
          <w:rFonts w:hint="default" w:ascii="仿宋_GB2312" w:hAnsi="Times New Roman" w:eastAsia="仿宋_GB2312" w:cs="Times New Roman"/>
          <w:color w:val="auto"/>
          <w:sz w:val="32"/>
          <w:szCs w:val="22"/>
          <w:lang w:val="en-US" w:eastAsia="zh-CN"/>
        </w:rPr>
        <w:t>要及时将有关情况报告</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eastAsia="zh-CN"/>
        </w:rPr>
        <w:t>发展改革委、受影响区域电力运行主管部门, 提出预警信息发布建议, 并视情通知重要电力用户。</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eastAsia="zh-CN"/>
        </w:rPr>
      </w:pPr>
      <w:r>
        <w:rPr>
          <w:rFonts w:hint="default" w:ascii="仿宋_GB2312" w:hAnsi="Times New Roman" w:eastAsia="仿宋_GB2312" w:cs="Times New Roman"/>
          <w:color w:val="auto"/>
          <w:sz w:val="32"/>
          <w:szCs w:val="22"/>
          <w:lang w:val="en-US" w:eastAsia="zh-CN"/>
        </w:rPr>
        <w:t>受影响区域电力运行主管部门应及时组织研判, 必要时报请本级人民政府批准后由本级大面积停电应急指挥部办公室向社会公众发布预警, 并通报同级其他相关部门和单位。当可能发生</w:t>
      </w:r>
      <w:r>
        <w:rPr>
          <w:rFonts w:hint="eastAsia" w:ascii="仿宋_GB2312" w:hAnsi="Times New Roman" w:eastAsia="仿宋_GB2312" w:cs="Times New Roman"/>
          <w:color w:val="auto"/>
          <w:sz w:val="32"/>
          <w:szCs w:val="22"/>
          <w:lang w:val="en-US" w:eastAsia="zh-CN"/>
        </w:rPr>
        <w:t>较</w:t>
      </w:r>
      <w:r>
        <w:rPr>
          <w:rFonts w:hint="default" w:ascii="仿宋_GB2312" w:hAnsi="Times New Roman" w:eastAsia="仿宋_GB2312" w:cs="Times New Roman"/>
          <w:color w:val="auto"/>
          <w:sz w:val="32"/>
          <w:szCs w:val="22"/>
          <w:lang w:val="en-US" w:eastAsia="zh-CN"/>
        </w:rPr>
        <w:t xml:space="preserve">大以上大面积停电事件时, </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eastAsia="zh-CN"/>
        </w:rPr>
        <w:t>发展改革委及时组织相关电力企业和专家进行会商, 报请</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eastAsia="zh-CN"/>
        </w:rPr>
        <w:t>人民政府批准后发布预警, 必要时通报可能影响的相邻</w:t>
      </w:r>
      <w:r>
        <w:rPr>
          <w:rFonts w:hint="eastAsia" w:ascii="仿宋_GB2312" w:hAnsi="Times New Roman" w:eastAsia="仿宋_GB2312" w:cs="Times New Roman"/>
          <w:color w:val="auto"/>
          <w:sz w:val="32"/>
          <w:szCs w:val="22"/>
          <w:lang w:val="en-US" w:eastAsia="zh-CN"/>
        </w:rPr>
        <w:t>市</w:t>
      </w:r>
      <w:r>
        <w:rPr>
          <w:rFonts w:hint="default" w:ascii="仿宋_GB2312" w:hAnsi="Times New Roman" w:eastAsia="仿宋_GB2312" w:cs="Times New Roman"/>
          <w:color w:val="auto"/>
          <w:sz w:val="32"/>
          <w:szCs w:val="22"/>
          <w:lang w:val="en-US" w:eastAsia="zh-CN"/>
        </w:rPr>
        <w:t>人民政府</w:t>
      </w:r>
      <w:r>
        <w:rPr>
          <w:rFonts w:hint="eastAsia" w:ascii="仿宋_GB2312" w:hAnsi="Times New Roman" w:eastAsia="仿宋_GB2312" w:cs="Times New Roman"/>
          <w:color w:val="auto"/>
          <w:sz w:val="32"/>
          <w:szCs w:val="22"/>
          <w:lang w:val="en-US" w:eastAsia="zh-CN"/>
        </w:rPr>
        <w:t>，同时报告自治区</w:t>
      </w:r>
      <w:r>
        <w:rPr>
          <w:rFonts w:hint="default" w:ascii="仿宋_GB2312" w:hAnsi="Times New Roman" w:eastAsia="仿宋_GB2312" w:cs="Times New Roman"/>
          <w:color w:val="auto"/>
          <w:sz w:val="32"/>
          <w:szCs w:val="22"/>
          <w:lang w:val="en-US" w:eastAsia="zh-CN"/>
        </w:rPr>
        <w:t>发展改革委。</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eastAsia="zh-CN"/>
        </w:rPr>
      </w:pPr>
      <w:r>
        <w:rPr>
          <w:rFonts w:hint="eastAsia" w:ascii="仿宋_GB2312" w:hAnsi="Times New Roman" w:eastAsia="仿宋_GB2312" w:cs="Times New Roman"/>
          <w:color w:val="auto"/>
          <w:sz w:val="32"/>
          <w:szCs w:val="22"/>
          <w:lang w:val="en-US" w:eastAsia="zh-CN"/>
        </w:rPr>
        <w:t>3.2.3预警行动</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eastAsia="zh-CN"/>
        </w:rPr>
      </w:pPr>
      <w:r>
        <w:rPr>
          <w:rFonts w:hint="eastAsia" w:ascii="仿宋_GB2312" w:hAnsi="Times New Roman" w:eastAsia="仿宋_GB2312" w:cs="Times New Roman"/>
          <w:color w:val="auto"/>
          <w:sz w:val="32"/>
          <w:szCs w:val="22"/>
          <w:lang w:val="en-US" w:eastAsia="zh-CN"/>
        </w:rPr>
        <w:t>预警信息发布后，电力企业要加强设备巡查检修和运行监测，采取有效措施控制事态发展；组织相关应急救援队伍和人员进入待命状态，动员后备人员做好参加应急救援和处置工作准备，并做好大面积停电事件应急所需物资、装备和设备等应急保障准备工作。</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eastAsia="zh-CN"/>
        </w:rPr>
      </w:pPr>
      <w:r>
        <w:rPr>
          <w:rFonts w:hint="default" w:ascii="仿宋_GB2312" w:hAnsi="Times New Roman" w:eastAsia="仿宋_GB2312" w:cs="Times New Roman"/>
          <w:color w:val="auto"/>
          <w:sz w:val="32"/>
          <w:szCs w:val="22"/>
          <w:lang w:val="en-US" w:eastAsia="zh-CN"/>
        </w:rPr>
        <w:t>重要电力用户做好自备应急电源、保安电源启用准备和非电保安措施准备。</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eastAsia="zh-CN"/>
        </w:rPr>
      </w:pPr>
      <w:r>
        <w:rPr>
          <w:rFonts w:hint="default" w:ascii="仿宋_GB2312" w:hAnsi="Times New Roman" w:eastAsia="仿宋_GB2312" w:cs="Times New Roman"/>
          <w:color w:val="auto"/>
          <w:sz w:val="32"/>
          <w:szCs w:val="22"/>
          <w:lang w:val="en-US" w:eastAsia="zh-CN"/>
        </w:rPr>
        <w:t>受影响区域人民政府启动应急联动机制, 组织有关部门和单位做好维持公共秩序、供水供气供热、商品供应、交通物流等方面的应急准备; 加强相关舆情监测, 主动响应社会公众关注的热点问题, 及时澄清谣言传言, 做好舆论引导工作。</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eastAsia="zh-CN"/>
        </w:rPr>
      </w:pPr>
      <w:r>
        <w:rPr>
          <w:rFonts w:hint="eastAsia" w:ascii="仿宋_GB2312" w:hAnsi="Times New Roman" w:eastAsia="仿宋_GB2312" w:cs="Times New Roman"/>
          <w:color w:val="auto"/>
          <w:sz w:val="32"/>
          <w:szCs w:val="22"/>
          <w:lang w:val="en-US" w:eastAsia="zh-CN"/>
        </w:rPr>
        <w:t>3.2.4预警解除</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eastAsia="zh-CN"/>
        </w:rPr>
      </w:pPr>
      <w:r>
        <w:rPr>
          <w:rFonts w:hint="eastAsia" w:ascii="仿宋_GB2312" w:hAnsi="Times New Roman" w:eastAsia="仿宋_GB2312" w:cs="Times New Roman"/>
          <w:color w:val="auto"/>
          <w:sz w:val="32"/>
          <w:szCs w:val="22"/>
          <w:lang w:val="en-US" w:eastAsia="zh-CN"/>
        </w:rPr>
        <w:t>根据事态发展，经研判不会发生大面积停电事件时，按照“谁发布、谁解除”的原则，由发布单位宣布解除预警，适时终止相关措施。</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zh-CN" w:eastAsia="zh-CN"/>
        </w:rPr>
      </w:pPr>
      <w:bookmarkStart w:id="19" w:name="_Toc31722"/>
      <w:r>
        <w:rPr>
          <w:rFonts w:hint="eastAsia" w:ascii="仿宋_GB2312" w:hAnsi="Times New Roman" w:eastAsia="仿宋_GB2312" w:cs="Times New Roman"/>
          <w:b/>
          <w:color w:val="auto"/>
          <w:kern w:val="44"/>
          <w:sz w:val="32"/>
          <w:szCs w:val="22"/>
          <w:lang w:val="en-US" w:eastAsia="zh-CN"/>
        </w:rPr>
        <w:t>3.3</w:t>
      </w:r>
      <w:r>
        <w:rPr>
          <w:rFonts w:hint="eastAsia" w:ascii="仿宋_GB2312" w:hAnsi="Times New Roman" w:eastAsia="仿宋_GB2312" w:cs="Times New Roman"/>
          <w:b/>
          <w:color w:val="auto"/>
          <w:kern w:val="44"/>
          <w:sz w:val="32"/>
          <w:szCs w:val="22"/>
          <w:lang w:val="zh-CN" w:eastAsia="zh-CN"/>
        </w:rPr>
        <w:t>信息报告</w:t>
      </w:r>
      <w:bookmarkEnd w:id="19"/>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rPr>
      </w:pPr>
      <w:r>
        <w:rPr>
          <w:rFonts w:hint="eastAsia" w:ascii="仿宋_GB2312" w:hAnsi="Times New Roman" w:eastAsia="仿宋_GB2312" w:cs="Times New Roman"/>
          <w:color w:val="auto"/>
          <w:sz w:val="32"/>
          <w:szCs w:val="22"/>
          <w:lang w:val="en-US"/>
        </w:rPr>
        <w:t xml:space="preserve">大面积停电事件发生后, </w:t>
      </w:r>
      <w:r>
        <w:rPr>
          <w:rFonts w:hint="default" w:ascii="仿宋_GB2312" w:hAnsi="Times New Roman" w:eastAsia="仿宋_GB2312" w:cs="Times New Roman"/>
          <w:color w:val="auto"/>
          <w:sz w:val="32"/>
          <w:szCs w:val="22"/>
          <w:lang w:val="en-US"/>
        </w:rPr>
        <w:t>相关电力企业和重要电力用户应立即向</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rPr>
        <w:t>大面积停电应急指挥部办公室或受影响区域电力运行主管部门报告, 在</w:t>
      </w:r>
      <w:r>
        <w:rPr>
          <w:rFonts w:hint="eastAsia" w:ascii="仿宋_GB2312" w:hAnsi="Times New Roman" w:eastAsia="仿宋_GB2312" w:cs="Times New Roman"/>
          <w:color w:val="auto"/>
          <w:sz w:val="32"/>
          <w:szCs w:val="22"/>
          <w:lang w:val="en-US" w:eastAsia="zh-CN"/>
        </w:rPr>
        <w:t>吴</w:t>
      </w:r>
      <w:r>
        <w:rPr>
          <w:rFonts w:hint="default" w:ascii="仿宋_GB2312" w:hAnsi="Times New Roman" w:eastAsia="仿宋_GB2312" w:cs="Times New Roman"/>
          <w:color w:val="auto"/>
          <w:sz w:val="32"/>
          <w:szCs w:val="22"/>
          <w:lang w:val="en-US"/>
        </w:rPr>
        <w:t>中央电力企业和重要用户同时报告</w:t>
      </w:r>
      <w:r>
        <w:rPr>
          <w:rFonts w:hint="eastAsia" w:ascii="仿宋_GB2312" w:hAnsi="Times New Roman" w:eastAsia="仿宋_GB2312" w:cs="Times New Roman"/>
          <w:color w:val="auto"/>
          <w:sz w:val="32"/>
          <w:szCs w:val="22"/>
          <w:lang w:val="en-US" w:eastAsia="zh-CN"/>
        </w:rPr>
        <w:t>其上级单位</w:t>
      </w:r>
      <w:r>
        <w:rPr>
          <w:rFonts w:hint="default" w:ascii="仿宋_GB2312" w:hAnsi="Times New Roman" w:eastAsia="仿宋_GB2312" w:cs="Times New Roman"/>
          <w:color w:val="auto"/>
          <w:sz w:val="32"/>
          <w:szCs w:val="22"/>
          <w:lang w:val="en-US"/>
        </w:rPr>
        <w:t>。</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rPr>
      </w:pP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rPr>
        <w:t>大面积停电应急指挥部办公室或受影响区域电力运行主管部门接到大面积停电事件信息报告或者监测到相关信息后,应当立即进行核实, 对大面积停电事件的性质和类别作出初步认</w:t>
      </w:r>
      <w:r>
        <w:rPr>
          <w:rFonts w:hint="eastAsia" w:ascii="仿宋_GB2312" w:hAnsi="Times New Roman" w:eastAsia="仿宋_GB2312" w:cs="Times New Roman"/>
          <w:color w:val="auto"/>
          <w:sz w:val="32"/>
          <w:szCs w:val="22"/>
          <w:lang w:val="en-US" w:eastAsia="zh-CN"/>
        </w:rPr>
        <w:t>定</w:t>
      </w:r>
      <w:r>
        <w:rPr>
          <w:rFonts w:hint="default" w:ascii="仿宋_GB2312" w:hAnsi="Times New Roman" w:eastAsia="仿宋_GB2312" w:cs="Times New Roman"/>
          <w:color w:val="auto"/>
          <w:sz w:val="32"/>
          <w:szCs w:val="22"/>
          <w:lang w:val="en-US" w:eastAsia="zh-CN"/>
        </w:rPr>
        <w:t>。对初判为</w:t>
      </w:r>
      <w:r>
        <w:rPr>
          <w:rFonts w:hint="eastAsia" w:ascii="仿宋_GB2312" w:hAnsi="Times New Roman" w:eastAsia="仿宋_GB2312" w:cs="Times New Roman"/>
          <w:color w:val="auto"/>
          <w:sz w:val="32"/>
          <w:szCs w:val="22"/>
          <w:lang w:val="en-US" w:eastAsia="zh-CN"/>
        </w:rPr>
        <w:t>较大、</w:t>
      </w:r>
      <w:r>
        <w:rPr>
          <w:rFonts w:hint="default" w:ascii="仿宋_GB2312" w:hAnsi="Times New Roman" w:eastAsia="仿宋_GB2312" w:cs="Times New Roman"/>
          <w:color w:val="auto"/>
          <w:sz w:val="32"/>
          <w:szCs w:val="22"/>
          <w:lang w:val="en-US" w:eastAsia="zh-CN"/>
        </w:rPr>
        <w:t>重大或特别重大的</w:t>
      </w:r>
      <w:r>
        <w:rPr>
          <w:rFonts w:hint="default" w:ascii="仿宋_GB2312" w:hAnsi="Times New Roman" w:eastAsia="仿宋_GB2312" w:cs="Times New Roman"/>
          <w:color w:val="auto"/>
          <w:sz w:val="32"/>
          <w:szCs w:val="22"/>
          <w:lang w:val="en-US"/>
        </w:rPr>
        <w:t xml:space="preserve">大面积停电事件, </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rPr>
        <w:t>大面积停电应急指挥部办公室立即报告</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rPr>
      </w:pP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eastAsia="zh-CN"/>
        </w:rPr>
        <w:t>人民政府, 同时报告</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eastAsia="zh-CN"/>
        </w:rPr>
        <w:t>大面积停电应急指挥部总指</w:t>
      </w:r>
      <w:r>
        <w:rPr>
          <w:rFonts w:hint="default" w:ascii="仿宋_GB2312" w:hAnsi="Times New Roman" w:eastAsia="仿宋_GB2312" w:cs="Times New Roman"/>
          <w:color w:val="auto"/>
          <w:sz w:val="32"/>
          <w:szCs w:val="22"/>
          <w:lang w:val="en-US"/>
        </w:rPr>
        <w:t xml:space="preserve">挥; </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rPr>
        <w:t>人民政府立即按程序向</w:t>
      </w:r>
      <w:r>
        <w:rPr>
          <w:rFonts w:hint="eastAsia" w:ascii="仿宋_GB2312" w:hAnsi="Times New Roman" w:eastAsia="仿宋_GB2312" w:cs="Times New Roman"/>
          <w:color w:val="auto"/>
          <w:sz w:val="32"/>
          <w:szCs w:val="22"/>
          <w:lang w:val="en-US" w:eastAsia="zh-CN"/>
        </w:rPr>
        <w:t>自治区</w:t>
      </w:r>
      <w:r>
        <w:rPr>
          <w:rFonts w:hint="default" w:ascii="仿宋_GB2312" w:hAnsi="Times New Roman" w:eastAsia="仿宋_GB2312" w:cs="Times New Roman"/>
          <w:color w:val="auto"/>
          <w:sz w:val="32"/>
          <w:szCs w:val="22"/>
          <w:lang w:val="en-US"/>
        </w:rPr>
        <w:t>报告。对初判为一般的大面积停电事件, 受影响区域电力运行主管部门要按照规定的时限、程序和要求向上级主管部门和同级人民政府报告, 并通报同级其他相关部门和单位。各地人民政府及电力运行主管部门应当按照有关规定逐级上报, 必要时可越级上报。</w:t>
      </w:r>
    </w:p>
    <w:p>
      <w:pPr>
        <w:pStyle w:val="2"/>
        <w:keepNext w:val="0"/>
        <w:keepLines w:val="0"/>
        <w:spacing w:before="78" w:beforeLines="25" w:after="78" w:afterLines="25"/>
        <w:ind w:firstLine="642" w:firstLineChars="200"/>
        <w:rPr>
          <w:rFonts w:hint="eastAsia" w:ascii="黑体" w:hAnsi="黑体" w:cs="Times New Roman"/>
          <w:b/>
          <w:color w:val="auto"/>
          <w:sz w:val="32"/>
          <w:szCs w:val="22"/>
          <w:lang w:val="zh-CN" w:eastAsia="zh-CN"/>
        </w:rPr>
      </w:pPr>
      <w:bookmarkStart w:id="20" w:name="_Toc21581"/>
      <w:r>
        <w:rPr>
          <w:rFonts w:hint="eastAsia" w:ascii="黑体" w:hAnsi="黑体" w:cs="Times New Roman"/>
          <w:b/>
          <w:color w:val="auto"/>
          <w:sz w:val="32"/>
          <w:szCs w:val="22"/>
          <w:lang w:val="en-US" w:eastAsia="zh-CN"/>
        </w:rPr>
        <w:t>4</w:t>
      </w:r>
      <w:r>
        <w:rPr>
          <w:rFonts w:hint="eastAsia" w:ascii="黑体" w:hAnsi="黑体" w:cs="Times New Roman"/>
          <w:b/>
          <w:color w:val="auto"/>
          <w:sz w:val="32"/>
          <w:szCs w:val="22"/>
          <w:lang w:val="zh-CN"/>
        </w:rPr>
        <w:t>响应</w:t>
      </w:r>
      <w:r>
        <w:rPr>
          <w:rFonts w:hint="eastAsia" w:ascii="黑体" w:hAnsi="黑体" w:cs="Times New Roman"/>
          <w:b/>
          <w:color w:val="auto"/>
          <w:sz w:val="32"/>
          <w:szCs w:val="22"/>
          <w:lang w:val="zh-CN" w:eastAsia="zh-CN"/>
        </w:rPr>
        <w:t>启动</w:t>
      </w:r>
      <w:bookmarkEnd w:id="20"/>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zh-CN" w:eastAsia="zh-CN"/>
        </w:rPr>
      </w:pPr>
      <w:bookmarkStart w:id="21" w:name="_Toc1681"/>
      <w:r>
        <w:rPr>
          <w:rFonts w:hint="default" w:ascii="仿宋_GB2312" w:hAnsi="Times New Roman" w:eastAsia="仿宋_GB2312" w:cs="Times New Roman"/>
          <w:b/>
          <w:color w:val="auto"/>
          <w:kern w:val="44"/>
          <w:sz w:val="32"/>
          <w:szCs w:val="22"/>
          <w:lang w:val="en-US" w:eastAsia="zh-CN"/>
        </w:rPr>
        <w:t>4.1</w:t>
      </w:r>
      <w:r>
        <w:rPr>
          <w:rFonts w:hint="default" w:ascii="仿宋_GB2312" w:hAnsi="Times New Roman" w:eastAsia="仿宋_GB2312" w:cs="Times New Roman"/>
          <w:b/>
          <w:color w:val="auto"/>
          <w:kern w:val="44"/>
          <w:sz w:val="32"/>
          <w:szCs w:val="22"/>
          <w:lang w:val="zh-CN" w:eastAsia="zh-CN"/>
        </w:rPr>
        <w:t>响应分级</w:t>
      </w:r>
      <w:bookmarkEnd w:id="21"/>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根据大面积停电事件的严重程度和发展态势，将应急响应设定为</w:t>
      </w:r>
      <w:r>
        <w:rPr>
          <w:rFonts w:hint="default" w:ascii="仿宋_GB2312" w:hAnsi="Times New Roman" w:eastAsia="仿宋_GB2312" w:cs="Times New Roman"/>
          <w:color w:val="auto"/>
          <w:sz w:val="32"/>
          <w:szCs w:val="22"/>
          <w:lang w:val="en-US"/>
        </w:rPr>
        <w:t>Ⅰ</w:t>
      </w:r>
      <w:r>
        <w:rPr>
          <w:rFonts w:hint="default" w:ascii="仿宋_GB2312" w:hAnsi="Times New Roman" w:eastAsia="仿宋_GB2312" w:cs="Times New Roman"/>
          <w:color w:val="auto"/>
          <w:sz w:val="32"/>
          <w:szCs w:val="22"/>
          <w:lang w:val="zh-CN"/>
        </w:rPr>
        <w:t>级、</w:t>
      </w:r>
      <w:r>
        <w:rPr>
          <w:rFonts w:hint="default" w:ascii="仿宋_GB2312" w:hAnsi="Times New Roman" w:eastAsia="仿宋_GB2312" w:cs="Times New Roman"/>
          <w:color w:val="auto"/>
          <w:sz w:val="32"/>
          <w:szCs w:val="22"/>
          <w:lang w:val="en-US"/>
        </w:rPr>
        <w:t>Ⅱ</w:t>
      </w:r>
      <w:r>
        <w:rPr>
          <w:rFonts w:hint="default" w:ascii="仿宋_GB2312" w:hAnsi="Times New Roman" w:eastAsia="仿宋_GB2312" w:cs="Times New Roman"/>
          <w:color w:val="auto"/>
          <w:sz w:val="32"/>
          <w:szCs w:val="22"/>
          <w:lang w:val="zh-CN"/>
        </w:rPr>
        <w:t>级、</w:t>
      </w:r>
      <w:r>
        <w:rPr>
          <w:rFonts w:hint="default" w:ascii="仿宋_GB2312" w:hAnsi="Times New Roman" w:eastAsia="仿宋_GB2312" w:cs="Times New Roman"/>
          <w:color w:val="auto"/>
          <w:sz w:val="32"/>
          <w:szCs w:val="22"/>
          <w:lang w:val="en-US"/>
        </w:rPr>
        <w:t>Ⅲ</w:t>
      </w:r>
      <w:r>
        <w:rPr>
          <w:rFonts w:hint="default" w:ascii="仿宋_GB2312" w:hAnsi="Times New Roman" w:eastAsia="仿宋_GB2312" w:cs="Times New Roman"/>
          <w:color w:val="auto"/>
          <w:sz w:val="32"/>
          <w:szCs w:val="22"/>
          <w:lang w:val="zh-CN"/>
        </w:rPr>
        <w:t>级和</w:t>
      </w:r>
      <w:r>
        <w:rPr>
          <w:rFonts w:hint="default" w:ascii="仿宋_GB2312" w:hAnsi="Times New Roman" w:eastAsia="仿宋_GB2312" w:cs="Times New Roman"/>
          <w:color w:val="auto"/>
          <w:sz w:val="32"/>
          <w:szCs w:val="22"/>
          <w:lang w:val="en-US"/>
        </w:rPr>
        <w:t>Ⅳ</w:t>
      </w:r>
      <w:r>
        <w:rPr>
          <w:rFonts w:hint="default" w:ascii="仿宋_GB2312" w:hAnsi="Times New Roman" w:eastAsia="仿宋_GB2312" w:cs="Times New Roman"/>
          <w:color w:val="auto"/>
          <w:sz w:val="32"/>
          <w:szCs w:val="22"/>
          <w:lang w:val="zh-CN"/>
        </w:rPr>
        <w:t>级</w:t>
      </w:r>
      <w:r>
        <w:rPr>
          <w:rFonts w:hint="default" w:ascii="仿宋_GB2312" w:hAnsi="Times New Roman" w:eastAsia="仿宋_GB2312" w:cs="Times New Roman"/>
          <w:color w:val="auto"/>
          <w:sz w:val="32"/>
          <w:szCs w:val="22"/>
          <w:lang w:val="en-US"/>
        </w:rPr>
        <w:t>4</w:t>
      </w:r>
      <w:r>
        <w:rPr>
          <w:rFonts w:hint="default" w:ascii="仿宋_GB2312" w:hAnsi="Times New Roman" w:eastAsia="仿宋_GB2312" w:cs="Times New Roman"/>
          <w:color w:val="auto"/>
          <w:sz w:val="32"/>
          <w:szCs w:val="22"/>
          <w:lang w:val="zh-CN"/>
        </w:rPr>
        <w:t>个等级。</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eastAsia" w:ascii="仿宋_GB2312" w:hAnsi="Times New Roman" w:eastAsia="仿宋_GB2312" w:cs="Times New Roman"/>
          <w:color w:val="auto"/>
          <w:sz w:val="32"/>
          <w:szCs w:val="22"/>
          <w:lang w:val="zh-CN"/>
        </w:rPr>
        <w:t>初判发生特别重大、</w:t>
      </w:r>
      <w:r>
        <w:rPr>
          <w:rFonts w:hint="default" w:ascii="仿宋_GB2312" w:hAnsi="Times New Roman" w:eastAsia="仿宋_GB2312" w:cs="Times New Roman"/>
          <w:color w:val="auto"/>
          <w:sz w:val="32"/>
          <w:szCs w:val="22"/>
          <w:lang w:val="zh-CN"/>
        </w:rPr>
        <w:t>重大大面积停电事件, 分别启动</w:t>
      </w:r>
      <w:r>
        <w:rPr>
          <w:rFonts w:hint="eastAsia" w:ascii="仿宋_GB2312" w:hAnsi="Times New Roman" w:eastAsia="仿宋_GB2312" w:cs="Times New Roman"/>
          <w:color w:val="auto"/>
          <w:sz w:val="32"/>
          <w:szCs w:val="22"/>
          <w:lang w:val="zh-CN"/>
        </w:rPr>
        <w:t>Ⅰ</w:t>
      </w:r>
      <w:r>
        <w:rPr>
          <w:rFonts w:hint="default" w:ascii="仿宋_GB2312" w:hAnsi="Times New Roman" w:eastAsia="仿宋_GB2312" w:cs="Times New Roman"/>
          <w:color w:val="auto"/>
          <w:sz w:val="32"/>
          <w:szCs w:val="22"/>
          <w:lang w:val="zh-CN"/>
        </w:rPr>
        <w:t>级、Ⅱ级应急响应, 由</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zh-CN"/>
        </w:rPr>
        <w:t>大面积停电应急指挥部组织和指挥应对工作。当</w:t>
      </w:r>
      <w:r>
        <w:rPr>
          <w:rFonts w:hint="eastAsia" w:ascii="仿宋_GB2312" w:hAnsi="Times New Roman" w:eastAsia="仿宋_GB2312" w:cs="Times New Roman"/>
          <w:color w:val="auto"/>
          <w:sz w:val="32"/>
          <w:szCs w:val="22"/>
          <w:lang w:val="en-US" w:eastAsia="zh-CN"/>
        </w:rPr>
        <w:t>自治区</w:t>
      </w:r>
      <w:r>
        <w:rPr>
          <w:rFonts w:hint="default" w:ascii="仿宋_GB2312" w:hAnsi="Times New Roman" w:eastAsia="仿宋_GB2312" w:cs="Times New Roman"/>
          <w:color w:val="auto"/>
          <w:sz w:val="32"/>
          <w:szCs w:val="22"/>
          <w:lang w:val="zh-CN"/>
        </w:rPr>
        <w:t>大面积停电事件应急指挥部成立后, 由</w:t>
      </w:r>
      <w:r>
        <w:rPr>
          <w:rFonts w:hint="eastAsia" w:ascii="仿宋_GB2312" w:hAnsi="Times New Roman" w:eastAsia="仿宋_GB2312" w:cs="Times New Roman"/>
          <w:color w:val="auto"/>
          <w:sz w:val="32"/>
          <w:szCs w:val="22"/>
          <w:lang w:val="en-US" w:eastAsia="zh-CN"/>
        </w:rPr>
        <w:t>自治区</w:t>
      </w:r>
      <w:r>
        <w:rPr>
          <w:rFonts w:hint="default" w:ascii="仿宋_GB2312" w:hAnsi="Times New Roman" w:eastAsia="仿宋_GB2312" w:cs="Times New Roman"/>
          <w:color w:val="auto"/>
          <w:sz w:val="32"/>
          <w:szCs w:val="22"/>
          <w:lang w:val="zh-CN"/>
        </w:rPr>
        <w:t>大面积停电事件应急指挥部统一领导、组织和指挥大面积停电事件应对工作。</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eastAsia="zh-CN"/>
        </w:rPr>
      </w:pPr>
      <w:r>
        <w:rPr>
          <w:rFonts w:hint="default" w:ascii="仿宋_GB2312" w:hAnsi="Times New Roman" w:eastAsia="仿宋_GB2312" w:cs="Times New Roman"/>
          <w:color w:val="auto"/>
          <w:sz w:val="32"/>
          <w:szCs w:val="22"/>
          <w:lang w:val="zh-CN"/>
        </w:rPr>
        <w:t>初判发生较大大面积停电事件, 启动Ⅲ级应急响应, 由</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zh-CN"/>
        </w:rPr>
        <w:t>大面积停电事件应急指挥部统一领导、组织和指挥大面积停电事件应对工作</w:t>
      </w:r>
      <w:r>
        <w:rPr>
          <w:rFonts w:hint="eastAsia" w:ascii="仿宋_GB2312" w:hAnsi="Times New Roman" w:eastAsia="仿宋_GB2312" w:cs="Times New Roman"/>
          <w:color w:val="auto"/>
          <w:sz w:val="32"/>
          <w:szCs w:val="22"/>
          <w:lang w:val="zh-CN" w:eastAsia="zh-CN"/>
        </w:rPr>
        <w:t>，</w:t>
      </w:r>
      <w:r>
        <w:rPr>
          <w:rFonts w:hint="default" w:ascii="仿宋_GB2312" w:hAnsi="Times New Roman" w:eastAsia="仿宋_GB2312" w:cs="Times New Roman"/>
          <w:color w:val="auto"/>
          <w:sz w:val="32"/>
          <w:szCs w:val="22"/>
          <w:lang w:val="zh-CN"/>
        </w:rPr>
        <w:t>事发地县级人民政府事先启动本级应急响应。</w:t>
      </w:r>
      <w:r>
        <w:rPr>
          <w:rFonts w:hint="eastAsia" w:ascii="仿宋_GB2312" w:hAnsi="Times New Roman" w:eastAsia="仿宋_GB2312" w:cs="Times New Roman"/>
          <w:color w:val="auto"/>
          <w:sz w:val="32"/>
          <w:szCs w:val="22"/>
          <w:lang w:val="zh-CN"/>
        </w:rPr>
        <w:t>超出我市处置能力</w:t>
      </w:r>
      <w:r>
        <w:rPr>
          <w:rFonts w:hint="eastAsia" w:ascii="仿宋_GB2312" w:hAnsi="Times New Roman" w:eastAsia="仿宋_GB2312" w:cs="Times New Roman"/>
          <w:color w:val="auto"/>
          <w:sz w:val="32"/>
          <w:szCs w:val="22"/>
          <w:lang w:val="zh-CN" w:eastAsia="zh-CN"/>
        </w:rPr>
        <w:t>，</w:t>
      </w:r>
      <w:r>
        <w:rPr>
          <w:rFonts w:hint="eastAsia" w:ascii="仿宋_GB2312" w:hAnsi="Times New Roman" w:eastAsia="仿宋_GB2312" w:cs="Times New Roman"/>
          <w:color w:val="auto"/>
          <w:sz w:val="32"/>
          <w:szCs w:val="22"/>
          <w:lang w:val="zh-CN"/>
        </w:rPr>
        <w:t>按程序报请</w:t>
      </w:r>
      <w:r>
        <w:rPr>
          <w:rFonts w:hint="eastAsia" w:ascii="仿宋_GB2312" w:hAnsi="Times New Roman" w:eastAsia="仿宋_GB2312" w:cs="Times New Roman"/>
          <w:color w:val="auto"/>
          <w:sz w:val="32"/>
          <w:szCs w:val="22"/>
          <w:lang w:val="zh-CN" w:eastAsia="zh-CN"/>
        </w:rPr>
        <w:t>自治区</w:t>
      </w:r>
      <w:r>
        <w:rPr>
          <w:rFonts w:hint="eastAsia" w:ascii="仿宋_GB2312" w:hAnsi="Times New Roman" w:eastAsia="仿宋_GB2312" w:cs="Times New Roman"/>
          <w:color w:val="auto"/>
          <w:sz w:val="32"/>
          <w:szCs w:val="22"/>
          <w:lang w:val="zh-CN"/>
        </w:rPr>
        <w:t>政府</w:t>
      </w:r>
      <w:r>
        <w:rPr>
          <w:rFonts w:hint="eastAsia" w:ascii="仿宋_GB2312" w:hAnsi="Times New Roman" w:eastAsia="仿宋_GB2312" w:cs="Times New Roman"/>
          <w:color w:val="auto"/>
          <w:sz w:val="32"/>
          <w:szCs w:val="22"/>
          <w:lang w:val="zh-CN" w:eastAsia="zh-CN"/>
        </w:rPr>
        <w:t>派出工作组协调指挥。</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初判发生</w:t>
      </w:r>
      <w:r>
        <w:rPr>
          <w:rFonts w:hint="eastAsia" w:ascii="仿宋_GB2312" w:hAnsi="Times New Roman" w:eastAsia="仿宋_GB2312" w:cs="Times New Roman"/>
          <w:color w:val="auto"/>
          <w:sz w:val="32"/>
          <w:szCs w:val="22"/>
          <w:lang w:val="en-US" w:eastAsia="zh-CN"/>
        </w:rPr>
        <w:t>一般</w:t>
      </w:r>
      <w:r>
        <w:rPr>
          <w:rFonts w:hint="default" w:ascii="仿宋_GB2312" w:hAnsi="Times New Roman" w:eastAsia="仿宋_GB2312" w:cs="Times New Roman"/>
          <w:color w:val="auto"/>
          <w:sz w:val="32"/>
          <w:szCs w:val="22"/>
          <w:lang w:val="zh-CN"/>
        </w:rPr>
        <w:t>大面积停电事件, 启动Ⅳ级应急响应, 根据事件影响范围, 由事发地人民政府负责组织、指挥应对工作</w:t>
      </w:r>
      <w:r>
        <w:rPr>
          <w:rFonts w:hint="eastAsia" w:ascii="仿宋_GB2312" w:hAnsi="Times New Roman" w:eastAsia="仿宋_GB2312" w:cs="Times New Roman"/>
          <w:color w:val="auto"/>
          <w:sz w:val="32"/>
          <w:szCs w:val="22"/>
          <w:lang w:val="zh-CN" w:eastAsia="zh-CN"/>
        </w:rPr>
        <w:t>，</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zh-CN"/>
        </w:rPr>
        <w:t>大面积停电事件应急指挥部</w:t>
      </w:r>
      <w:r>
        <w:rPr>
          <w:rFonts w:hint="eastAsia" w:ascii="仿宋_GB2312" w:hAnsi="Times New Roman" w:eastAsia="仿宋_GB2312" w:cs="Times New Roman"/>
          <w:color w:val="auto"/>
          <w:sz w:val="32"/>
          <w:szCs w:val="22"/>
          <w:lang w:val="en-US" w:eastAsia="zh-CN"/>
        </w:rPr>
        <w:t>视情况</w:t>
      </w:r>
      <w:r>
        <w:rPr>
          <w:rFonts w:hint="eastAsia" w:ascii="仿宋_GB2312" w:hAnsi="Times New Roman" w:eastAsia="仿宋_GB2312" w:cs="Times New Roman"/>
          <w:color w:val="auto"/>
          <w:sz w:val="32"/>
          <w:szCs w:val="22"/>
          <w:lang w:val="zh-CN" w:eastAsia="zh-CN"/>
        </w:rPr>
        <w:t>派出工作组协调指挥</w:t>
      </w:r>
      <w:r>
        <w:rPr>
          <w:rFonts w:hint="default" w:ascii="仿宋_GB2312" w:hAnsi="Times New Roman" w:eastAsia="仿宋_GB2312" w:cs="Times New Roman"/>
          <w:color w:val="auto"/>
          <w:sz w:val="32"/>
          <w:szCs w:val="22"/>
          <w:lang w:val="zh-CN"/>
        </w:rPr>
        <w:t>。</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eastAsia="zh-CN"/>
        </w:rPr>
      </w:pPr>
      <w:r>
        <w:rPr>
          <w:rFonts w:hint="default" w:ascii="仿宋_GB2312" w:hAnsi="Times New Roman" w:eastAsia="仿宋_GB2312" w:cs="Times New Roman"/>
          <w:color w:val="auto"/>
          <w:sz w:val="32"/>
          <w:szCs w:val="22"/>
          <w:lang w:val="zh-CN"/>
        </w:rPr>
        <w:t>对于尚未达到一般大面积停电事件标准, 但对社会产生较大影响的其他停电事件, 事发地人民政府可结合实际情况启动应急响应</w:t>
      </w:r>
      <w:r>
        <w:rPr>
          <w:rFonts w:hint="eastAsia" w:ascii="仿宋_GB2312" w:hAnsi="Times New Roman" w:eastAsia="仿宋_GB2312" w:cs="Times New Roman"/>
          <w:color w:val="auto"/>
          <w:sz w:val="32"/>
          <w:szCs w:val="22"/>
          <w:lang w:val="zh-CN" w:eastAsia="zh-CN"/>
        </w:rPr>
        <w:t>。</w:t>
      </w:r>
    </w:p>
    <w:p>
      <w:pPr>
        <w:spacing w:before="78" w:beforeLines="25" w:after="78" w:afterLines="25" w:line="580" w:lineRule="exact"/>
        <w:ind w:firstLine="640" w:firstLineChars="200"/>
        <w:rPr>
          <w:rFonts w:hint="default"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应急响应启动后，可视事件造成损失情况及其发展趋势调整响应级别，避免响应不足或响应过度。</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zh-CN" w:eastAsia="zh-CN"/>
        </w:rPr>
      </w:pPr>
      <w:bookmarkStart w:id="22" w:name="_Toc30062"/>
      <w:r>
        <w:rPr>
          <w:rFonts w:hint="eastAsia" w:ascii="仿宋_GB2312" w:hAnsi="Times New Roman" w:eastAsia="仿宋_GB2312" w:cs="Times New Roman"/>
          <w:b/>
          <w:color w:val="auto"/>
          <w:kern w:val="44"/>
          <w:sz w:val="32"/>
          <w:szCs w:val="22"/>
          <w:lang w:val="zh-CN" w:eastAsia="zh-CN"/>
        </w:rPr>
        <w:t>4.2 响应措施</w:t>
      </w:r>
      <w:bookmarkEnd w:id="22"/>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大面积停电事件发生后, 相关电力企业和重要电力用户要立即实施先期处置, 全力控制事件发展态势, 减少损失。有关县(区)和单位根据工作需要, 组织采取相应措施。</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4.2.1 电网抢修恢复</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发生大面积停电事件后, 电力调度机构合理安排运行方式,控制停电范围; 尽快恢复重要输变电设备、电力主干网架运行;在条件具备时, 优先恢复重要电力用户、重点地区的电力供应。</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电网企业迅速组织力量抢修受损电网设备设施, 根据应急指挥机构要求, 向重要电力用户及重要设施提供必要的电力支援。</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发电企业保证设备安全, 抢修受损设备, 做好发电机组并网运行准备, 按照电力调度指令恢复运行。</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4.2.2 防范次生衍生事故</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发生大面积停电事件后, 重要电力用户按照有关技术要求迅速启动自备应急电源, 加强重大危险源、重要目标、重大关键基础设施隐患排查与监测预警, 及时采取防范措施, 防止发生次生衍生事故。</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4.2.3 保障居民基本生活</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发生大面积停电事件后, 各级有关行业主管部门和水、气、油、供热等企业启用应急供水措施, 保障居民用水需求; 采用多种方式, 保障燃气供应和采暖期内居民生活热力供应; 组织生活必需品的应急生产、调配和运输, 保障停电期间居民基本生活。</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4.2.4 维护社会稳定</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发生大面积停电事件后, 各级有关行业主管部门要加强涉及国家安全和公共安全的重点单位安全保卫工作, 严密防范和严厉打击违法犯罪活动; 加强对停电区域内繁华街区、大型居民区、大型商场、学校、医院、金融机构、机场、城市交通设施、车站及其他重要生产经营场所等重点地区、重点部位、人员密集场所的治安巡逻, 及时疏散人员, 解救被困人员, 防范治安事件; 加强交通疏导, 维护道路交通秩序; 尽快恢复企业生产经营活动;严厉打击造谣惑众、囤积居奇、哄抬物价等各种违法行为。</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4.2.5 加强信息发布</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 xml:space="preserve">发生大面积停电事件后, </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zh-CN"/>
        </w:rPr>
        <w:t>、县(区)大面积停电应急指挥部按照及时准确、公开透明、客观统一的原则, 加强信息发布和舆论引导, 主动向社会发布停电相关信息和应对工作情况, 提示相关注意事项和保安措施, 加强舆情收集分析, 及时回应社会关切, 澄清不实信息, 正确引导社会舆论, 稳定公众情绪。</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4.2.6 组织事态评估</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应急指挥机构及时组织对大面积停电事件影响范围、影响程</w:t>
      </w:r>
      <w:r>
        <w:rPr>
          <w:rFonts w:hint="default" w:ascii="仿宋_GB2312" w:hAnsi="Times New Roman" w:eastAsia="仿宋_GB2312" w:cs="Times New Roman"/>
          <w:color w:val="auto"/>
          <w:sz w:val="32"/>
          <w:szCs w:val="22"/>
          <w:lang w:val="en-US" w:eastAsia="zh-CN"/>
        </w:rPr>
        <w:t>度、发展趋势及恢复进度进行评估, 为进一步做好应对工作提供</w:t>
      </w:r>
      <w:r>
        <w:rPr>
          <w:rFonts w:hint="default" w:ascii="仿宋_GB2312" w:hAnsi="Times New Roman" w:eastAsia="仿宋_GB2312" w:cs="Times New Roman"/>
          <w:color w:val="auto"/>
          <w:sz w:val="32"/>
          <w:szCs w:val="22"/>
          <w:lang w:val="zh-CN"/>
        </w:rPr>
        <w:t>依据。</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zh-CN" w:eastAsia="zh-CN"/>
        </w:rPr>
      </w:pPr>
      <w:bookmarkStart w:id="23" w:name="_Toc12302"/>
      <w:r>
        <w:rPr>
          <w:rFonts w:hint="default" w:ascii="仿宋_GB2312" w:hAnsi="Times New Roman" w:eastAsia="仿宋_GB2312" w:cs="Times New Roman"/>
          <w:b/>
          <w:color w:val="auto"/>
          <w:kern w:val="44"/>
          <w:sz w:val="32"/>
          <w:szCs w:val="22"/>
          <w:lang w:val="zh-CN" w:eastAsia="zh-CN"/>
        </w:rPr>
        <w:t xml:space="preserve">4.3 </w:t>
      </w:r>
      <w:r>
        <w:rPr>
          <w:rFonts w:hint="eastAsia" w:ascii="仿宋_GB2312" w:hAnsi="Times New Roman" w:eastAsia="仿宋_GB2312" w:cs="Times New Roman"/>
          <w:b/>
          <w:color w:val="auto"/>
          <w:kern w:val="44"/>
          <w:sz w:val="32"/>
          <w:szCs w:val="22"/>
          <w:lang w:val="en-US" w:eastAsia="zh-CN"/>
        </w:rPr>
        <w:t>吴忠市</w:t>
      </w:r>
      <w:r>
        <w:rPr>
          <w:rFonts w:hint="default" w:ascii="仿宋_GB2312" w:hAnsi="Times New Roman" w:eastAsia="仿宋_GB2312" w:cs="Times New Roman"/>
          <w:b/>
          <w:color w:val="auto"/>
          <w:kern w:val="44"/>
          <w:sz w:val="32"/>
          <w:szCs w:val="22"/>
          <w:lang w:val="zh-CN" w:eastAsia="zh-CN"/>
        </w:rPr>
        <w:t>层面应对</w:t>
      </w:r>
      <w:bookmarkEnd w:id="23"/>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 xml:space="preserve">4.3.1 </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zh-CN"/>
        </w:rPr>
        <w:t>大面积停电应急指挥部</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根据事件应对工作需要和</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zh-CN"/>
        </w:rPr>
        <w:t xml:space="preserve">区人民政府决策部署, </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zh-CN"/>
        </w:rPr>
        <w:t>大面积停电应急指挥部主要开展以下工作:</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(1)组织有关部门和单位、专家组进行会商, 研究分析事态, 部署应对工作;</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(2)根据需要赴事发现场, 或派出前方工作组赴事发现场,协调开展应对工作;</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(3)研究决定有关县(区)人民政府和</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zh-CN"/>
        </w:rPr>
        <w:t>有关单位及电力企业提出的请求事项, 重要事项报</w:t>
      </w:r>
      <w:r>
        <w:rPr>
          <w:rFonts w:hint="eastAsia" w:ascii="仿宋_GB2312" w:hAnsi="Times New Roman" w:eastAsia="仿宋_GB2312" w:cs="Times New Roman"/>
          <w:color w:val="auto"/>
          <w:sz w:val="32"/>
          <w:szCs w:val="22"/>
          <w:lang w:val="en-US" w:eastAsia="zh-CN"/>
        </w:rPr>
        <w:t>自治区发展改革委和西北能源监管局</w:t>
      </w:r>
      <w:r>
        <w:rPr>
          <w:rFonts w:hint="default" w:ascii="仿宋_GB2312" w:hAnsi="Times New Roman" w:eastAsia="仿宋_GB2312" w:cs="Times New Roman"/>
          <w:color w:val="auto"/>
          <w:sz w:val="32"/>
          <w:szCs w:val="22"/>
          <w:lang w:val="zh-CN"/>
        </w:rPr>
        <w:t>决策;</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(4)统一组织信息发布和舆论引导工作;</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(5)组织开展事件处置评估;</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(6)对事件处置工作进行总结并报告</w:t>
      </w:r>
      <w:r>
        <w:rPr>
          <w:rFonts w:hint="eastAsia" w:ascii="仿宋_GB2312" w:hAnsi="Times New Roman" w:eastAsia="仿宋_GB2312" w:cs="Times New Roman"/>
          <w:color w:val="auto"/>
          <w:sz w:val="32"/>
          <w:szCs w:val="22"/>
          <w:lang w:val="en-US" w:eastAsia="zh-CN"/>
        </w:rPr>
        <w:t>自治区发展改革委</w:t>
      </w:r>
      <w:r>
        <w:rPr>
          <w:rFonts w:hint="default" w:ascii="仿宋_GB2312" w:hAnsi="Times New Roman" w:eastAsia="仿宋_GB2312" w:cs="Times New Roman"/>
          <w:color w:val="auto"/>
          <w:sz w:val="32"/>
          <w:szCs w:val="22"/>
          <w:lang w:val="zh-CN"/>
        </w:rPr>
        <w:t>。</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 xml:space="preserve">4.3.2 </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zh-CN"/>
        </w:rPr>
        <w:t>大面积停电应急指挥部现场工作组</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初判发生</w:t>
      </w:r>
      <w:r>
        <w:rPr>
          <w:rFonts w:hint="eastAsia" w:ascii="仿宋_GB2312" w:hAnsi="Times New Roman" w:eastAsia="仿宋_GB2312" w:cs="Times New Roman"/>
          <w:color w:val="auto"/>
          <w:sz w:val="32"/>
          <w:szCs w:val="22"/>
          <w:lang w:val="en-US" w:eastAsia="zh-CN"/>
        </w:rPr>
        <w:t>较大、</w:t>
      </w:r>
      <w:r>
        <w:rPr>
          <w:rFonts w:hint="default" w:ascii="仿宋_GB2312" w:hAnsi="Times New Roman" w:eastAsia="仿宋_GB2312" w:cs="Times New Roman"/>
          <w:color w:val="auto"/>
          <w:sz w:val="32"/>
          <w:szCs w:val="22"/>
          <w:lang w:val="zh-CN"/>
        </w:rPr>
        <w:t>重大</w:t>
      </w:r>
      <w:r>
        <w:rPr>
          <w:rFonts w:hint="eastAsia" w:ascii="仿宋_GB2312" w:hAnsi="Times New Roman" w:eastAsia="仿宋_GB2312" w:cs="Times New Roman"/>
          <w:color w:val="auto"/>
          <w:sz w:val="32"/>
          <w:szCs w:val="22"/>
          <w:lang w:val="zh-CN" w:eastAsia="zh-CN"/>
        </w:rPr>
        <w:t>、</w:t>
      </w:r>
      <w:r>
        <w:rPr>
          <w:rFonts w:hint="default" w:ascii="仿宋_GB2312" w:hAnsi="Times New Roman" w:eastAsia="仿宋_GB2312" w:cs="Times New Roman"/>
          <w:color w:val="auto"/>
          <w:sz w:val="32"/>
          <w:szCs w:val="22"/>
          <w:lang w:val="zh-CN"/>
        </w:rPr>
        <w:t xml:space="preserve">特别重大大面积停电事件时, </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zh-CN"/>
        </w:rPr>
        <w:t>大面积停电应急指挥部现场工作组主要开展以下工作:</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(1)督促</w:t>
      </w:r>
      <w:r>
        <w:rPr>
          <w:rFonts w:hint="eastAsia" w:ascii="仿宋_GB2312" w:hAnsi="Times New Roman" w:eastAsia="仿宋_GB2312" w:cs="Times New Roman"/>
          <w:color w:val="auto"/>
          <w:sz w:val="32"/>
          <w:szCs w:val="22"/>
          <w:lang w:val="en-US" w:eastAsia="zh-CN"/>
        </w:rPr>
        <w:t>县（区）</w:t>
      </w:r>
      <w:r>
        <w:rPr>
          <w:rFonts w:hint="default" w:ascii="仿宋_GB2312" w:hAnsi="Times New Roman" w:eastAsia="仿宋_GB2312" w:cs="Times New Roman"/>
          <w:color w:val="auto"/>
          <w:sz w:val="32"/>
          <w:szCs w:val="22"/>
          <w:lang w:val="zh-CN"/>
        </w:rPr>
        <w:t>人民政府、</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zh-CN"/>
        </w:rPr>
        <w:t>有关单位和电力企业贯彻落实</w:t>
      </w:r>
      <w:r>
        <w:rPr>
          <w:rFonts w:hint="eastAsia" w:ascii="仿宋_GB2312" w:hAnsi="Times New Roman" w:eastAsia="仿宋_GB2312" w:cs="Times New Roman"/>
          <w:color w:val="auto"/>
          <w:sz w:val="32"/>
          <w:szCs w:val="22"/>
          <w:lang w:val="en-US" w:eastAsia="zh-CN"/>
        </w:rPr>
        <w:t>自治区</w:t>
      </w:r>
      <w:r>
        <w:rPr>
          <w:rFonts w:hint="default" w:ascii="仿宋_GB2312" w:hAnsi="Times New Roman" w:eastAsia="仿宋_GB2312" w:cs="Times New Roman"/>
          <w:color w:val="auto"/>
          <w:sz w:val="32"/>
          <w:szCs w:val="22"/>
          <w:lang w:val="zh-CN"/>
        </w:rPr>
        <w:t>和</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zh-CN"/>
        </w:rPr>
        <w:t>部署要求;</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(2)了解大面积停电事件基本情况、造成的损失和影响、应对进展及当地需求等, 协调有关方面派出应急队伍、调运应急物</w:t>
      </w:r>
      <w:r>
        <w:rPr>
          <w:rFonts w:hint="default" w:ascii="仿宋_GB2312" w:hAnsi="Times New Roman" w:eastAsia="仿宋_GB2312" w:cs="Times New Roman"/>
          <w:color w:val="auto"/>
          <w:sz w:val="32"/>
          <w:szCs w:val="22"/>
          <w:lang w:val="en-US" w:eastAsia="zh-CN"/>
        </w:rPr>
        <w:t>资和装备、安排专家和技术人员等, 为应对工作提供支援和技术</w:t>
      </w:r>
      <w:r>
        <w:rPr>
          <w:rFonts w:hint="default" w:ascii="仿宋_GB2312" w:hAnsi="Times New Roman" w:eastAsia="仿宋_GB2312" w:cs="Times New Roman"/>
          <w:color w:val="auto"/>
          <w:sz w:val="32"/>
          <w:szCs w:val="22"/>
          <w:lang w:val="zh-CN"/>
        </w:rPr>
        <w:t>支持;</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(3)对跨</w:t>
      </w:r>
      <w:r>
        <w:rPr>
          <w:rFonts w:hint="eastAsia" w:ascii="仿宋_GB2312" w:hAnsi="Times New Roman" w:eastAsia="仿宋_GB2312" w:cs="Times New Roman"/>
          <w:color w:val="auto"/>
          <w:sz w:val="32"/>
          <w:szCs w:val="22"/>
          <w:lang w:val="en-US" w:eastAsia="zh-CN"/>
        </w:rPr>
        <w:t>市</w:t>
      </w:r>
      <w:r>
        <w:rPr>
          <w:rFonts w:hint="default" w:ascii="仿宋_GB2312" w:hAnsi="Times New Roman" w:eastAsia="仿宋_GB2312" w:cs="Times New Roman"/>
          <w:color w:val="auto"/>
          <w:sz w:val="32"/>
          <w:szCs w:val="22"/>
          <w:lang w:val="zh-CN"/>
        </w:rPr>
        <w:t>级行政区域大面积停电事件应对工作进行协调;</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(4)赶赴现场指导</w:t>
      </w:r>
      <w:r>
        <w:rPr>
          <w:rFonts w:hint="eastAsia" w:ascii="仿宋_GB2312" w:hAnsi="Times New Roman" w:eastAsia="仿宋_GB2312" w:cs="Times New Roman"/>
          <w:color w:val="auto"/>
          <w:sz w:val="32"/>
          <w:szCs w:val="22"/>
          <w:lang w:val="en-US" w:eastAsia="zh-CN"/>
        </w:rPr>
        <w:t>县（区）</w:t>
      </w:r>
      <w:r>
        <w:rPr>
          <w:rFonts w:hint="default" w:ascii="仿宋_GB2312" w:hAnsi="Times New Roman" w:eastAsia="仿宋_GB2312" w:cs="Times New Roman"/>
          <w:color w:val="auto"/>
          <w:sz w:val="32"/>
          <w:szCs w:val="22"/>
          <w:lang w:val="zh-CN"/>
        </w:rPr>
        <w:t>开展事件应对工作;</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(5)指导开展事件处置评估;</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(6)协调指导大面积停电事件宣传报道工作;</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(7)及时向</w:t>
      </w:r>
      <w:r>
        <w:rPr>
          <w:rFonts w:hint="eastAsia" w:ascii="仿宋_GB2312" w:hAnsi="Times New Roman" w:eastAsia="仿宋_GB2312" w:cs="Times New Roman"/>
          <w:color w:val="auto"/>
          <w:sz w:val="32"/>
          <w:szCs w:val="22"/>
          <w:lang w:val="en-US" w:eastAsia="zh-CN"/>
        </w:rPr>
        <w:t>自治区发展改革委</w:t>
      </w:r>
      <w:r>
        <w:rPr>
          <w:rFonts w:hint="default" w:ascii="仿宋_GB2312" w:hAnsi="Times New Roman" w:eastAsia="仿宋_GB2312" w:cs="Times New Roman"/>
          <w:color w:val="auto"/>
          <w:sz w:val="32"/>
          <w:szCs w:val="22"/>
          <w:lang w:val="zh-CN"/>
        </w:rPr>
        <w:t>报告相关情况。</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zh-CN" w:eastAsia="zh-CN"/>
        </w:rPr>
      </w:pPr>
      <w:bookmarkStart w:id="24" w:name="_Toc25079"/>
      <w:r>
        <w:rPr>
          <w:rFonts w:hint="default" w:ascii="仿宋_GB2312" w:hAnsi="Times New Roman" w:eastAsia="仿宋_GB2312" w:cs="Times New Roman"/>
          <w:b/>
          <w:color w:val="auto"/>
          <w:kern w:val="44"/>
          <w:sz w:val="32"/>
          <w:szCs w:val="22"/>
          <w:lang w:val="zh-CN" w:eastAsia="zh-CN"/>
        </w:rPr>
        <w:t>4.4 响应终止</w:t>
      </w:r>
      <w:bookmarkEnd w:id="24"/>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同时满足以下条件时, 由启动响应的应急指挥机构终止应急响应:</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(1)电网主干网架基本恢复正常, 电网运行参数保持在稳定限额之内, 主要发电厂机组运行稳定;</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(2)减供负荷恢复80%以上, 受停电影响的重点地区、重要城市负荷恢复90%以上;</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(3)造成大面积停电事件的隐患基本消除;</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zh-CN"/>
        </w:rPr>
      </w:pPr>
      <w:r>
        <w:rPr>
          <w:rFonts w:hint="default" w:ascii="仿宋_GB2312" w:hAnsi="Times New Roman" w:eastAsia="仿宋_GB2312" w:cs="Times New Roman"/>
          <w:color w:val="auto"/>
          <w:sz w:val="32"/>
          <w:szCs w:val="22"/>
          <w:lang w:val="zh-CN"/>
        </w:rPr>
        <w:t>(4)大面积停电事件造成的重特大次生衍生事故基本处置完成。</w:t>
      </w:r>
    </w:p>
    <w:p>
      <w:pPr>
        <w:pStyle w:val="2"/>
        <w:keepNext w:val="0"/>
        <w:keepLines w:val="0"/>
        <w:spacing w:before="78" w:beforeLines="25" w:after="78" w:afterLines="25"/>
        <w:ind w:firstLine="642" w:firstLineChars="200"/>
        <w:rPr>
          <w:rFonts w:hint="eastAsia" w:ascii="黑体" w:hAnsi="黑体" w:cs="Times New Roman"/>
          <w:b/>
          <w:color w:val="auto"/>
          <w:sz w:val="32"/>
          <w:szCs w:val="22"/>
          <w:lang w:val="zh-CN" w:eastAsia="zh-CN"/>
        </w:rPr>
      </w:pPr>
      <w:bookmarkStart w:id="25" w:name="_Toc141"/>
      <w:r>
        <w:rPr>
          <w:rFonts w:hint="default" w:ascii="黑体" w:hAnsi="黑体" w:cs="Times New Roman"/>
          <w:b/>
          <w:color w:val="auto"/>
          <w:sz w:val="32"/>
          <w:szCs w:val="22"/>
          <w:lang w:val="en-US" w:eastAsia="zh-CN"/>
        </w:rPr>
        <w:t>5</w:t>
      </w:r>
      <w:r>
        <w:rPr>
          <w:rFonts w:hint="default" w:ascii="黑体" w:hAnsi="黑体" w:cs="Times New Roman"/>
          <w:b/>
          <w:color w:val="auto"/>
          <w:sz w:val="32"/>
          <w:szCs w:val="22"/>
          <w:lang w:val="zh-CN" w:eastAsia="zh-CN"/>
        </w:rPr>
        <w:t>后期处置</w:t>
      </w:r>
      <w:bookmarkEnd w:id="25"/>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en-US" w:eastAsia="zh-CN"/>
        </w:rPr>
      </w:pPr>
      <w:bookmarkStart w:id="26" w:name="_Toc15050"/>
      <w:r>
        <w:rPr>
          <w:rFonts w:hint="default" w:ascii="仿宋_GB2312" w:hAnsi="Times New Roman" w:eastAsia="仿宋_GB2312" w:cs="Times New Roman"/>
          <w:b/>
          <w:color w:val="auto"/>
          <w:kern w:val="44"/>
          <w:sz w:val="32"/>
          <w:szCs w:val="22"/>
          <w:lang w:val="en-US" w:eastAsia="zh-CN"/>
        </w:rPr>
        <w:t>5.1处置评估</w:t>
      </w:r>
      <w:bookmarkEnd w:id="26"/>
    </w:p>
    <w:p>
      <w:pPr>
        <w:spacing w:before="78" w:beforeLines="25" w:after="78" w:afterLines="25" w:line="580" w:lineRule="exact"/>
        <w:ind w:firstLine="640" w:firstLineChars="200"/>
        <w:rPr>
          <w:rFonts w:hint="default"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大面积停电事件应急响应终止后，</w:t>
      </w:r>
      <w:r>
        <w:rPr>
          <w:rFonts w:hint="default" w:ascii="仿宋_GB2312" w:hAnsi="Times New Roman" w:eastAsia="仿宋_GB2312" w:cs="Times New Roman"/>
          <w:color w:val="auto"/>
          <w:sz w:val="32"/>
          <w:szCs w:val="22"/>
          <w:lang w:val="en-US" w:eastAsia="zh-CN"/>
        </w:rPr>
        <w:t xml:space="preserve">根据事件等级, </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rPr>
        <w:t>、县(区)人民政府要及时组织对事件处置工作进行评估, 总结经验教训, 分析查找问题, 提出改进措施, 形成处置评估报告。</w:t>
      </w:r>
      <w:r>
        <w:rPr>
          <w:rFonts w:hint="eastAsia" w:ascii="仿宋_GB2312" w:hAnsi="Times New Roman" w:eastAsia="仿宋_GB2312" w:cs="Times New Roman"/>
          <w:color w:val="auto"/>
          <w:sz w:val="32"/>
          <w:szCs w:val="22"/>
          <w:lang w:val="en-US" w:eastAsia="zh-CN"/>
        </w:rPr>
        <w:t>特别重大、</w:t>
      </w:r>
      <w:r>
        <w:rPr>
          <w:rFonts w:hint="default" w:ascii="仿宋_GB2312" w:hAnsi="Times New Roman" w:eastAsia="仿宋_GB2312" w:cs="Times New Roman"/>
          <w:color w:val="auto"/>
          <w:sz w:val="32"/>
          <w:szCs w:val="22"/>
          <w:lang w:val="en-US"/>
        </w:rPr>
        <w:t>重大大面积停电事件</w:t>
      </w:r>
      <w:r>
        <w:rPr>
          <w:rFonts w:hint="eastAsia" w:ascii="仿宋_GB2312" w:hAnsi="Times New Roman" w:eastAsia="仿宋_GB2312" w:cs="Times New Roman"/>
          <w:color w:val="auto"/>
          <w:sz w:val="32"/>
          <w:szCs w:val="22"/>
          <w:lang w:val="en-US" w:eastAsia="zh-CN"/>
        </w:rPr>
        <w:t>吴忠市人民政府配合上级人民政府</w:t>
      </w:r>
      <w:r>
        <w:rPr>
          <w:rFonts w:hint="default" w:ascii="仿宋_GB2312" w:hAnsi="Times New Roman" w:eastAsia="仿宋_GB2312" w:cs="Times New Roman"/>
          <w:color w:val="auto"/>
          <w:sz w:val="32"/>
          <w:szCs w:val="22"/>
          <w:lang w:val="en-US"/>
        </w:rPr>
        <w:t>开展处置评估，较大、</w:t>
      </w:r>
      <w:r>
        <w:rPr>
          <w:rFonts w:hint="eastAsia" w:ascii="仿宋_GB2312" w:hAnsi="Times New Roman" w:eastAsia="仿宋_GB2312" w:cs="Times New Roman"/>
          <w:color w:val="auto"/>
          <w:sz w:val="32"/>
          <w:szCs w:val="22"/>
          <w:lang w:val="en-US" w:eastAsia="zh-CN"/>
        </w:rPr>
        <w:t>涉及两个及以上县的</w:t>
      </w:r>
      <w:r>
        <w:rPr>
          <w:rFonts w:hint="default" w:ascii="仿宋_GB2312" w:hAnsi="Times New Roman" w:eastAsia="仿宋_GB2312" w:cs="Times New Roman"/>
          <w:color w:val="auto"/>
          <w:sz w:val="32"/>
          <w:szCs w:val="22"/>
          <w:lang w:val="en-US"/>
        </w:rPr>
        <w:t>一般大面积停电事件由</w:t>
      </w:r>
      <w:r>
        <w:rPr>
          <w:rFonts w:hint="eastAsia" w:ascii="仿宋_GB2312" w:hAnsi="Times New Roman" w:eastAsia="仿宋_GB2312" w:cs="Times New Roman"/>
          <w:color w:val="auto"/>
          <w:sz w:val="32"/>
          <w:szCs w:val="22"/>
          <w:lang w:val="en-US" w:eastAsia="zh-CN"/>
        </w:rPr>
        <w:t>吴忠</w:t>
      </w:r>
      <w:r>
        <w:rPr>
          <w:rFonts w:hint="default" w:ascii="仿宋_GB2312" w:hAnsi="Times New Roman" w:eastAsia="仿宋_GB2312" w:cs="Times New Roman"/>
          <w:color w:val="auto"/>
          <w:sz w:val="32"/>
          <w:szCs w:val="22"/>
          <w:lang w:val="en-US"/>
        </w:rPr>
        <w:t>市人民政府组织开展处置评估，对于</w:t>
      </w:r>
      <w:r>
        <w:rPr>
          <w:rFonts w:hint="eastAsia" w:ascii="仿宋_GB2312" w:hAnsi="Times New Roman" w:eastAsia="仿宋_GB2312" w:cs="Times New Roman"/>
          <w:color w:val="auto"/>
          <w:sz w:val="32"/>
          <w:szCs w:val="22"/>
          <w:lang w:val="en-US" w:eastAsia="zh-CN"/>
        </w:rPr>
        <w:t>涉及一个县（区）的</w:t>
      </w:r>
      <w:r>
        <w:rPr>
          <w:rFonts w:hint="default" w:ascii="仿宋_GB2312" w:hAnsi="Times New Roman" w:eastAsia="仿宋_GB2312" w:cs="Times New Roman"/>
          <w:color w:val="auto"/>
          <w:sz w:val="32"/>
          <w:szCs w:val="22"/>
          <w:lang w:val="en-US"/>
        </w:rPr>
        <w:t>一般大面积停电事件</w:t>
      </w:r>
      <w:r>
        <w:rPr>
          <w:rFonts w:hint="eastAsia" w:ascii="仿宋_GB2312" w:hAnsi="Times New Roman" w:eastAsia="仿宋_GB2312" w:cs="Times New Roman"/>
          <w:color w:val="auto"/>
          <w:sz w:val="32"/>
          <w:szCs w:val="22"/>
          <w:lang w:val="en-US" w:eastAsia="zh-CN"/>
        </w:rPr>
        <w:t>或</w:t>
      </w:r>
      <w:r>
        <w:rPr>
          <w:rFonts w:hint="default" w:ascii="仿宋_GB2312" w:hAnsi="Times New Roman" w:eastAsia="仿宋_GB2312" w:cs="Times New Roman"/>
          <w:color w:val="auto"/>
          <w:sz w:val="32"/>
          <w:szCs w:val="22"/>
          <w:lang w:val="en-US"/>
        </w:rPr>
        <w:t>尚未达到一般大面积停电事件标准，但对社会发生较大影响的其它停电事件，由事发地县级人民政府组织开展处置评估。鼓励开展第三方评估。</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en-US" w:eastAsia="zh-CN"/>
        </w:rPr>
      </w:pPr>
      <w:bookmarkStart w:id="27" w:name="_Toc28996"/>
      <w:r>
        <w:rPr>
          <w:rFonts w:hint="default" w:ascii="仿宋_GB2312" w:hAnsi="Times New Roman" w:eastAsia="仿宋_GB2312" w:cs="Times New Roman"/>
          <w:b/>
          <w:color w:val="auto"/>
          <w:kern w:val="44"/>
          <w:sz w:val="32"/>
          <w:szCs w:val="22"/>
          <w:lang w:val="en-US" w:eastAsia="zh-CN"/>
        </w:rPr>
        <w:t>5.2事件调查</w:t>
      </w:r>
      <w:bookmarkEnd w:id="27"/>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大面积停电事件发生后，根据有关规定成立调查组进行事件调查。各事发地人民政府、有关部门和单位要认真配合调查工作，客观、公正、准确地查明事件原因、性质、影响范围、经济损失等情况，提出防范、整改措施和处理处置建议。</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en-US" w:eastAsia="zh-CN"/>
        </w:rPr>
      </w:pPr>
      <w:bookmarkStart w:id="28" w:name="_Toc26805"/>
      <w:r>
        <w:rPr>
          <w:rFonts w:hint="default" w:ascii="仿宋_GB2312" w:hAnsi="Times New Roman" w:eastAsia="仿宋_GB2312" w:cs="Times New Roman"/>
          <w:b/>
          <w:color w:val="auto"/>
          <w:kern w:val="44"/>
          <w:sz w:val="32"/>
          <w:szCs w:val="22"/>
          <w:lang w:val="en-US" w:eastAsia="zh-CN"/>
        </w:rPr>
        <w:t>5.3善后处置</w:t>
      </w:r>
      <w:bookmarkEnd w:id="28"/>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事发地人民政府要及时组织制订善后工作方案并组织实施。保险机构要及时开展相关理赔工作，减轻大面积停电事件的影响。</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en-US" w:eastAsia="zh-CN"/>
        </w:rPr>
      </w:pPr>
      <w:bookmarkStart w:id="29" w:name="_Toc4721"/>
      <w:r>
        <w:rPr>
          <w:rFonts w:hint="default" w:ascii="仿宋_GB2312" w:hAnsi="Times New Roman" w:eastAsia="仿宋_GB2312" w:cs="Times New Roman"/>
          <w:b/>
          <w:color w:val="auto"/>
          <w:kern w:val="44"/>
          <w:sz w:val="32"/>
          <w:szCs w:val="22"/>
          <w:lang w:val="en-US" w:eastAsia="zh-CN"/>
        </w:rPr>
        <w:t>5.4恢复重建</w:t>
      </w:r>
      <w:bookmarkEnd w:id="29"/>
    </w:p>
    <w:p>
      <w:pPr>
        <w:spacing w:before="78" w:beforeLines="25" w:after="78" w:afterLines="25" w:line="580" w:lineRule="exact"/>
        <w:ind w:firstLine="640" w:firstLineChars="200"/>
        <w:rPr>
          <w:rFonts w:hint="default"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大面积停电事件应急响应终止后, 需对电网网架结构和设备设施进行修复或重建的, 由</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rPr>
        <w:t>人民政府根据实际工作需要组织国网</w:t>
      </w:r>
      <w:r>
        <w:rPr>
          <w:rFonts w:hint="eastAsia" w:ascii="仿宋_GB2312" w:hAnsi="Times New Roman" w:eastAsia="仿宋_GB2312" w:cs="Times New Roman"/>
          <w:color w:val="auto"/>
          <w:sz w:val="32"/>
          <w:szCs w:val="22"/>
          <w:lang w:val="en-US" w:eastAsia="zh-CN"/>
        </w:rPr>
        <w:t>吴忠供电</w:t>
      </w:r>
      <w:r>
        <w:rPr>
          <w:rFonts w:hint="default" w:ascii="仿宋_GB2312" w:hAnsi="Times New Roman" w:eastAsia="仿宋_GB2312" w:cs="Times New Roman"/>
          <w:color w:val="auto"/>
          <w:sz w:val="32"/>
          <w:szCs w:val="22"/>
          <w:lang w:val="en-US"/>
        </w:rPr>
        <w:t>公司</w:t>
      </w:r>
      <w:r>
        <w:rPr>
          <w:rFonts w:hint="eastAsia" w:ascii="仿宋_GB2312" w:hAnsi="Times New Roman" w:eastAsia="仿宋_GB2312" w:cs="Times New Roman"/>
          <w:color w:val="auto"/>
          <w:sz w:val="32"/>
          <w:szCs w:val="22"/>
          <w:lang w:val="en-US" w:eastAsia="zh-CN"/>
        </w:rPr>
        <w:t>、国网宁东供电公司</w:t>
      </w:r>
      <w:r>
        <w:rPr>
          <w:rFonts w:hint="default" w:ascii="仿宋_GB2312" w:hAnsi="Times New Roman" w:eastAsia="仿宋_GB2312" w:cs="Times New Roman"/>
          <w:color w:val="auto"/>
          <w:sz w:val="32"/>
          <w:szCs w:val="22"/>
          <w:lang w:val="en-US"/>
        </w:rPr>
        <w:t>等单位编制恢复重建规划。相关电力企业和受影响</w:t>
      </w:r>
      <w:r>
        <w:rPr>
          <w:rFonts w:hint="eastAsia" w:ascii="仿宋_GB2312" w:hAnsi="Times New Roman" w:eastAsia="仿宋_GB2312" w:cs="Times New Roman"/>
          <w:color w:val="auto"/>
          <w:sz w:val="32"/>
          <w:szCs w:val="22"/>
          <w:lang w:val="en-US" w:eastAsia="zh-CN"/>
        </w:rPr>
        <w:t>县（区）</w:t>
      </w:r>
      <w:r>
        <w:rPr>
          <w:rFonts w:hint="default" w:ascii="仿宋_GB2312" w:hAnsi="Times New Roman" w:eastAsia="仿宋_GB2312" w:cs="Times New Roman"/>
          <w:color w:val="auto"/>
          <w:sz w:val="32"/>
          <w:szCs w:val="22"/>
          <w:lang w:val="en-US"/>
        </w:rPr>
        <w:t>人民政府应当根据规划做好受损电力系统恢复重建工作。</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5.4.1确定恢复重建的目标任务</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以发展规划目标为指导，明确重建项目的重点、任务和工作进度。</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5.4.2明确恢复重建的标准</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按照电力规划设计导则结合区域地理环境和自然灾害情况，执行差异化规划设计及反事故措施，远近结合，适度超前实施重建。</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5.4.3强化措施保障及政策扶持</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电力企业根据需要成立恢复重建领导小组，统一指挥、协调电力恢复重建工作；电力灾后重建项目应多方筹措资金，积极争取国家政策支持，争取专项资金和地方财政补助；各有关部门对电力灾后重建项目所涉及的审批工作，开辟绿色通道，加强用地用林等要素保障。</w:t>
      </w:r>
    </w:p>
    <w:p>
      <w:pPr>
        <w:pStyle w:val="2"/>
        <w:keepNext w:val="0"/>
        <w:keepLines w:val="0"/>
        <w:spacing w:before="78" w:beforeLines="25" w:after="78" w:afterLines="25"/>
        <w:ind w:firstLine="642" w:firstLineChars="200"/>
        <w:rPr>
          <w:rFonts w:hint="eastAsia" w:ascii="黑体" w:hAnsi="黑体" w:cs="Times New Roman"/>
          <w:b/>
          <w:color w:val="auto"/>
          <w:sz w:val="32"/>
          <w:szCs w:val="22"/>
          <w:lang w:val="zh-CN"/>
        </w:rPr>
      </w:pPr>
      <w:bookmarkStart w:id="30" w:name="_Toc769"/>
      <w:r>
        <w:rPr>
          <w:rFonts w:hint="default" w:ascii="黑体" w:hAnsi="黑体" w:cs="Times New Roman"/>
          <w:b/>
          <w:color w:val="auto"/>
          <w:sz w:val="32"/>
          <w:szCs w:val="22"/>
          <w:lang w:val="en-US"/>
        </w:rPr>
        <w:t>6</w:t>
      </w:r>
      <w:r>
        <w:rPr>
          <w:rFonts w:hint="eastAsia" w:ascii="黑体" w:hAnsi="黑体" w:cs="Times New Roman"/>
          <w:b/>
          <w:color w:val="auto"/>
          <w:sz w:val="32"/>
          <w:szCs w:val="22"/>
          <w:lang w:val="en-US" w:eastAsia="zh-CN"/>
        </w:rPr>
        <w:t>应急</w:t>
      </w:r>
      <w:r>
        <w:rPr>
          <w:rFonts w:hint="default" w:ascii="黑体" w:hAnsi="黑体" w:cs="Times New Roman"/>
          <w:b/>
          <w:color w:val="auto"/>
          <w:sz w:val="32"/>
          <w:szCs w:val="22"/>
          <w:lang w:val="zh-CN"/>
        </w:rPr>
        <w:t>保障</w:t>
      </w:r>
      <w:bookmarkEnd w:id="30"/>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zh-CN" w:eastAsia="zh-CN"/>
        </w:rPr>
      </w:pPr>
      <w:bookmarkStart w:id="31" w:name="_Toc20023"/>
      <w:r>
        <w:rPr>
          <w:rFonts w:hint="default" w:ascii="仿宋_GB2312" w:hAnsi="Times New Roman" w:eastAsia="仿宋_GB2312" w:cs="Times New Roman"/>
          <w:b/>
          <w:color w:val="auto"/>
          <w:kern w:val="44"/>
          <w:sz w:val="32"/>
          <w:szCs w:val="22"/>
          <w:lang w:val="en-US" w:eastAsia="zh-CN"/>
        </w:rPr>
        <w:t>6.1</w:t>
      </w:r>
      <w:r>
        <w:rPr>
          <w:rFonts w:hint="default" w:ascii="仿宋_GB2312" w:hAnsi="Times New Roman" w:eastAsia="仿宋_GB2312" w:cs="Times New Roman"/>
          <w:b/>
          <w:color w:val="auto"/>
          <w:kern w:val="44"/>
          <w:sz w:val="32"/>
          <w:szCs w:val="22"/>
          <w:lang w:val="zh-CN" w:eastAsia="zh-CN"/>
        </w:rPr>
        <w:t>队伍保障</w:t>
      </w:r>
      <w:bookmarkEnd w:id="31"/>
    </w:p>
    <w:p>
      <w:pPr>
        <w:spacing w:before="78" w:beforeLines="25" w:after="78" w:afterLines="25" w:line="580" w:lineRule="exact"/>
        <w:ind w:firstLine="640" w:firstLineChars="200"/>
        <w:rPr>
          <w:rFonts w:hint="default"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电力企业应建立健全电力抢修应急专业队伍, 加强设备维护和应急抢修技能方面的人员培训, 定期开展应急演练, 提高应急救援能力。</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rPr>
        <w:t>、</w:t>
      </w:r>
      <w:r>
        <w:rPr>
          <w:rFonts w:hint="eastAsia" w:ascii="仿宋_GB2312" w:hAnsi="Times New Roman" w:eastAsia="仿宋_GB2312" w:cs="Times New Roman"/>
          <w:color w:val="auto"/>
          <w:sz w:val="32"/>
          <w:szCs w:val="22"/>
          <w:lang w:val="en-US" w:eastAsia="zh-CN"/>
        </w:rPr>
        <w:t>各</w:t>
      </w:r>
      <w:r>
        <w:rPr>
          <w:rFonts w:hint="default" w:ascii="仿宋_GB2312" w:hAnsi="Times New Roman" w:eastAsia="仿宋_GB2312" w:cs="Times New Roman"/>
          <w:color w:val="auto"/>
          <w:sz w:val="32"/>
          <w:szCs w:val="22"/>
          <w:lang w:val="en-US"/>
        </w:rPr>
        <w:t>县(区)人民政府根据需要组织动员其他专业应急队伍和志愿者等参与大面积停电事件及其次生衍生灾</w:t>
      </w:r>
      <w:r>
        <w:rPr>
          <w:rFonts w:hint="default" w:ascii="仿宋_GB2312" w:hAnsi="Times New Roman" w:eastAsia="仿宋_GB2312" w:cs="Times New Roman"/>
          <w:color w:val="auto"/>
          <w:sz w:val="32"/>
          <w:szCs w:val="22"/>
          <w:lang w:val="en-US" w:eastAsia="zh-CN"/>
        </w:rPr>
        <w:t>害处置工作。公安、消防、军队、武警部队等要做好应急力量支</w:t>
      </w:r>
      <w:r>
        <w:rPr>
          <w:rFonts w:hint="default" w:ascii="仿宋_GB2312" w:hAnsi="Times New Roman" w:eastAsia="仿宋_GB2312" w:cs="Times New Roman"/>
          <w:color w:val="auto"/>
          <w:sz w:val="32"/>
          <w:szCs w:val="22"/>
          <w:lang w:val="en-US"/>
        </w:rPr>
        <w:t>援保障。</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en-US" w:eastAsia="zh-CN"/>
        </w:rPr>
      </w:pPr>
      <w:bookmarkStart w:id="32" w:name="_Toc9046"/>
      <w:r>
        <w:rPr>
          <w:rFonts w:hint="default" w:ascii="仿宋_GB2312" w:hAnsi="Times New Roman" w:eastAsia="仿宋_GB2312" w:cs="Times New Roman"/>
          <w:b/>
          <w:color w:val="auto"/>
          <w:kern w:val="44"/>
          <w:sz w:val="32"/>
          <w:szCs w:val="22"/>
          <w:lang w:val="en-US" w:eastAsia="zh-CN"/>
        </w:rPr>
        <w:t>6.2装备物资保障</w:t>
      </w:r>
      <w:bookmarkEnd w:id="32"/>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电力企业应储备必要的专业应急装备及物资, 建立和完善相应保障体系。</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rPr>
        <w:t>有关部门和县(区)人民政府要加强应急救援装备物资及生产生活物资的紧急生产、储备调拨和紧急配送工作, 保障支援大面积停电事件应对工作需要。鼓励支持社会化储备。</w:t>
      </w:r>
      <w:r>
        <w:rPr>
          <w:rFonts w:hint="eastAsia" w:ascii="仿宋_GB2312" w:hAnsi="Times New Roman" w:eastAsia="仿宋_GB2312" w:cs="Times New Roman"/>
          <w:color w:val="auto"/>
          <w:sz w:val="32"/>
          <w:szCs w:val="22"/>
          <w:lang w:val="en-US" w:eastAsia="zh-CN"/>
        </w:rPr>
        <w:t>吴忠市大面积停电</w:t>
      </w:r>
      <w:r>
        <w:rPr>
          <w:rFonts w:hint="default" w:ascii="仿宋_GB2312" w:hAnsi="Times New Roman" w:eastAsia="仿宋_GB2312" w:cs="Times New Roman"/>
          <w:color w:val="auto"/>
          <w:sz w:val="32"/>
          <w:szCs w:val="22"/>
          <w:lang w:val="en-US"/>
        </w:rPr>
        <w:t>应急指挥部在全市范围内统一调度使用应急装备及物资，各县（区）</w:t>
      </w:r>
      <w:r>
        <w:rPr>
          <w:rFonts w:hint="eastAsia" w:ascii="仿宋_GB2312" w:hAnsi="Times New Roman" w:eastAsia="仿宋_GB2312" w:cs="Times New Roman"/>
          <w:color w:val="auto"/>
          <w:sz w:val="32"/>
          <w:szCs w:val="22"/>
          <w:lang w:val="en-US" w:eastAsia="zh-CN"/>
        </w:rPr>
        <w:t>大面积停电</w:t>
      </w:r>
      <w:r>
        <w:rPr>
          <w:rFonts w:hint="default" w:ascii="仿宋_GB2312" w:hAnsi="Times New Roman" w:eastAsia="仿宋_GB2312" w:cs="Times New Roman"/>
          <w:color w:val="auto"/>
          <w:sz w:val="32"/>
          <w:szCs w:val="22"/>
          <w:lang w:val="en-US"/>
        </w:rPr>
        <w:t>应急指挥</w:t>
      </w:r>
      <w:r>
        <w:rPr>
          <w:rFonts w:hint="eastAsia" w:ascii="仿宋_GB2312" w:hAnsi="Times New Roman" w:eastAsia="仿宋_GB2312" w:cs="Times New Roman"/>
          <w:color w:val="auto"/>
          <w:sz w:val="32"/>
          <w:szCs w:val="22"/>
          <w:lang w:val="en-US" w:eastAsia="zh-CN"/>
        </w:rPr>
        <w:t>部</w:t>
      </w:r>
      <w:r>
        <w:rPr>
          <w:rFonts w:hint="default" w:ascii="仿宋_GB2312" w:hAnsi="Times New Roman" w:eastAsia="仿宋_GB2312" w:cs="Times New Roman"/>
          <w:color w:val="auto"/>
          <w:sz w:val="32"/>
          <w:szCs w:val="22"/>
          <w:lang w:val="en-US"/>
        </w:rPr>
        <w:t>对本辖区内各单位的应急救援装备及物资实行统一调度，保障支援大面积停电事件应对工作需要。</w:t>
      </w:r>
    </w:p>
    <w:p>
      <w:pPr>
        <w:autoSpaceDE w:val="0"/>
        <w:autoSpaceDN w:val="0"/>
        <w:adjustRightInd w:val="0"/>
        <w:spacing w:before="78" w:beforeLines="25" w:after="78" w:afterLines="25" w:line="580" w:lineRule="exact"/>
        <w:ind w:firstLine="642" w:firstLineChars="200"/>
        <w:outlineLvl w:val="1"/>
        <w:rPr>
          <w:rFonts w:hint="eastAsia" w:ascii="仿宋_GB2312" w:hAnsi="Times New Roman" w:eastAsia="仿宋_GB2312" w:cs="Times New Roman"/>
          <w:b/>
          <w:color w:val="auto"/>
          <w:kern w:val="44"/>
          <w:sz w:val="32"/>
          <w:szCs w:val="22"/>
          <w:lang w:val="en-US" w:eastAsia="zh-CN"/>
        </w:rPr>
      </w:pPr>
      <w:bookmarkStart w:id="33" w:name="_Toc5988"/>
      <w:r>
        <w:rPr>
          <w:rFonts w:hint="default" w:ascii="仿宋_GB2312" w:hAnsi="Times New Roman" w:eastAsia="仿宋_GB2312" w:cs="Times New Roman"/>
          <w:b/>
          <w:color w:val="auto"/>
          <w:kern w:val="44"/>
          <w:sz w:val="32"/>
          <w:szCs w:val="22"/>
          <w:lang w:val="en-US" w:eastAsia="zh-CN"/>
        </w:rPr>
        <w:t>6.3通信、交通与运输保障</w:t>
      </w:r>
      <w:bookmarkEnd w:id="33"/>
    </w:p>
    <w:p>
      <w:pPr>
        <w:spacing w:before="78" w:beforeLines="25" w:after="78" w:afterLines="25" w:line="580" w:lineRule="exact"/>
        <w:ind w:firstLine="640" w:firstLineChars="200"/>
        <w:rPr>
          <w:rFonts w:hint="default" w:ascii="仿宋_GB2312" w:hAnsi="Times New Roman" w:eastAsia="仿宋_GB2312" w:cs="Times New Roman"/>
          <w:color w:val="auto"/>
          <w:sz w:val="32"/>
          <w:szCs w:val="22"/>
          <w:lang w:val="en-US"/>
        </w:rPr>
      </w:pP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rPr>
        <w:t>通信部门和县(区)人民政府要建立健全大面积停电事件应急通信保障体系, 形成可靠的通信保障能力, 确保大面积停电后应急期间通信联络和信息传递需要。交通运输部门要健全紧急运输保障体系, 保障应急响应所需人员、物资、装备、器材等的运输; 公安部门要加强交通应急管理, 保障应急救援车辆优先通行; 有关单位应配备必要的应急车辆, 保障应急救援需要。</w:t>
      </w:r>
    </w:p>
    <w:p>
      <w:pPr>
        <w:autoSpaceDE w:val="0"/>
        <w:autoSpaceDN w:val="0"/>
        <w:adjustRightInd w:val="0"/>
        <w:spacing w:before="78" w:beforeLines="25" w:after="78" w:afterLines="25" w:line="580" w:lineRule="exact"/>
        <w:ind w:firstLine="642" w:firstLineChars="200"/>
        <w:outlineLvl w:val="1"/>
        <w:rPr>
          <w:rFonts w:hint="default" w:ascii="仿宋_GB2312" w:hAnsi="Times New Roman" w:eastAsia="仿宋_GB2312" w:cs="Times New Roman"/>
          <w:b/>
          <w:color w:val="auto"/>
          <w:kern w:val="44"/>
          <w:sz w:val="32"/>
          <w:szCs w:val="22"/>
          <w:lang w:val="en-US" w:eastAsia="zh-CN"/>
        </w:rPr>
      </w:pPr>
      <w:bookmarkStart w:id="34" w:name="_Toc23021"/>
      <w:r>
        <w:rPr>
          <w:rFonts w:hint="default" w:ascii="仿宋_GB2312" w:hAnsi="Times New Roman" w:eastAsia="仿宋_GB2312" w:cs="Times New Roman"/>
          <w:b/>
          <w:color w:val="auto"/>
          <w:kern w:val="44"/>
          <w:sz w:val="32"/>
          <w:szCs w:val="22"/>
          <w:lang w:val="en-US" w:eastAsia="zh-CN"/>
        </w:rPr>
        <w:t>6.4 技术保障</w:t>
      </w:r>
      <w:bookmarkEnd w:id="34"/>
    </w:p>
    <w:p>
      <w:pPr>
        <w:spacing w:before="78" w:beforeLines="25" w:after="78" w:afterLines="25" w:line="580" w:lineRule="exact"/>
        <w:ind w:firstLine="640" w:firstLineChars="200"/>
        <w:rPr>
          <w:rFonts w:hint="default"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电力行业要加强大面积停电事件应对和监测先进技术、装备的研发, 制定电力应急技术标准, 加强电网、电厂安全应急信息化平台建设。有关部门要为电力日常监测预警及电力应急抢险提供必要的气象、地质、水文等服务。有关单位要分析和研究电网大面积停电可能造成的社会危害和损失, 增加技术投入, 建立和完善应急技术保障体系。</w:t>
      </w:r>
    </w:p>
    <w:p>
      <w:pPr>
        <w:autoSpaceDE w:val="0"/>
        <w:autoSpaceDN w:val="0"/>
        <w:adjustRightInd w:val="0"/>
        <w:spacing w:before="78" w:beforeLines="25" w:after="78" w:afterLines="25" w:line="580" w:lineRule="exact"/>
        <w:ind w:firstLine="642" w:firstLineChars="200"/>
        <w:outlineLvl w:val="1"/>
        <w:rPr>
          <w:rFonts w:hint="default" w:ascii="仿宋_GB2312" w:hAnsi="Times New Roman" w:eastAsia="仿宋_GB2312" w:cs="Times New Roman"/>
          <w:b/>
          <w:color w:val="auto"/>
          <w:kern w:val="44"/>
          <w:sz w:val="32"/>
          <w:szCs w:val="22"/>
          <w:lang w:val="en-US" w:eastAsia="zh-CN"/>
        </w:rPr>
      </w:pPr>
      <w:bookmarkStart w:id="35" w:name="_Toc2919"/>
      <w:r>
        <w:rPr>
          <w:rFonts w:hint="default" w:ascii="仿宋_GB2312" w:hAnsi="Times New Roman" w:eastAsia="仿宋_GB2312" w:cs="Times New Roman"/>
          <w:b/>
          <w:color w:val="auto"/>
          <w:kern w:val="44"/>
          <w:sz w:val="32"/>
          <w:szCs w:val="22"/>
          <w:lang w:val="en-US" w:eastAsia="zh-CN"/>
        </w:rPr>
        <w:t>6.5 应急电源保障</w:t>
      </w:r>
      <w:bookmarkEnd w:id="35"/>
    </w:p>
    <w:p>
      <w:pPr>
        <w:spacing w:before="78" w:beforeLines="25" w:after="78" w:afterLines="25" w:line="580" w:lineRule="exact"/>
        <w:ind w:firstLine="640" w:firstLineChars="200"/>
        <w:rPr>
          <w:rFonts w:hint="default"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提高电力系统快速恢复能力, 加强电网“黑启动”能力建设。</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rPr>
        <w:t>有关部门和电力企业应充分考虑电源规划布局, 保障地区“黑启动”电源。电力企业应配备适量的应急发电装备,必要时提供应急电源支援。重要电力用户应按照国家有关技术要求配置外电源及自备应急电源, 并加强维护和管理, 确保应急状态下能够投入运行。</w:t>
      </w:r>
    </w:p>
    <w:p>
      <w:pPr>
        <w:autoSpaceDE w:val="0"/>
        <w:autoSpaceDN w:val="0"/>
        <w:adjustRightInd w:val="0"/>
        <w:spacing w:before="78" w:beforeLines="25" w:after="78" w:afterLines="25" w:line="580" w:lineRule="exact"/>
        <w:ind w:firstLine="642" w:firstLineChars="200"/>
        <w:outlineLvl w:val="1"/>
        <w:rPr>
          <w:rFonts w:hint="default" w:ascii="仿宋_GB2312" w:hAnsi="Times New Roman" w:eastAsia="仿宋_GB2312" w:cs="Times New Roman"/>
          <w:b/>
          <w:color w:val="auto"/>
          <w:kern w:val="44"/>
          <w:sz w:val="32"/>
          <w:szCs w:val="22"/>
          <w:lang w:val="en-US" w:eastAsia="zh-CN"/>
        </w:rPr>
      </w:pPr>
      <w:bookmarkStart w:id="36" w:name="_Toc19497"/>
      <w:r>
        <w:rPr>
          <w:rFonts w:hint="default" w:ascii="仿宋_GB2312" w:hAnsi="Times New Roman" w:eastAsia="仿宋_GB2312" w:cs="Times New Roman"/>
          <w:b/>
          <w:color w:val="auto"/>
          <w:kern w:val="44"/>
          <w:sz w:val="32"/>
          <w:szCs w:val="22"/>
          <w:lang w:val="en-US" w:eastAsia="zh-CN"/>
        </w:rPr>
        <w:t>6.6 资金保障</w:t>
      </w:r>
      <w:bookmarkEnd w:id="36"/>
    </w:p>
    <w:p>
      <w:pPr>
        <w:spacing w:before="78" w:beforeLines="25" w:after="78" w:afterLines="25" w:line="580" w:lineRule="exact"/>
        <w:ind w:firstLine="640" w:firstLineChars="200"/>
        <w:rPr>
          <w:rFonts w:hint="default" w:ascii="仿宋_GB2312" w:hAnsi="Times New Roman" w:eastAsia="仿宋_GB2312" w:cs="Times New Roman"/>
          <w:color w:val="auto"/>
          <w:sz w:val="32"/>
          <w:szCs w:val="22"/>
          <w:lang w:val="en-US"/>
        </w:rPr>
      </w:pP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rPr>
        <w:t>财政</w:t>
      </w:r>
      <w:r>
        <w:rPr>
          <w:rFonts w:hint="eastAsia" w:ascii="仿宋_GB2312" w:hAnsi="Times New Roman" w:eastAsia="仿宋_GB2312" w:cs="Times New Roman"/>
          <w:color w:val="auto"/>
          <w:sz w:val="32"/>
          <w:szCs w:val="22"/>
          <w:lang w:val="en-US" w:eastAsia="zh-CN"/>
        </w:rPr>
        <w:t>局</w:t>
      </w:r>
      <w:r>
        <w:rPr>
          <w:rFonts w:hint="default" w:ascii="仿宋_GB2312" w:hAnsi="Times New Roman" w:eastAsia="仿宋_GB2312" w:cs="Times New Roman"/>
          <w:color w:val="auto"/>
          <w:sz w:val="32"/>
          <w:szCs w:val="22"/>
          <w:lang w:val="en-US"/>
        </w:rPr>
        <w:t>、发展改革委、工信</w:t>
      </w:r>
      <w:r>
        <w:rPr>
          <w:rFonts w:hint="eastAsia" w:ascii="仿宋_GB2312" w:hAnsi="Times New Roman" w:eastAsia="仿宋_GB2312" w:cs="Times New Roman"/>
          <w:color w:val="auto"/>
          <w:sz w:val="32"/>
          <w:szCs w:val="22"/>
          <w:lang w:val="en-US" w:eastAsia="zh-CN"/>
        </w:rPr>
        <w:t>局</w:t>
      </w:r>
      <w:r>
        <w:rPr>
          <w:rFonts w:hint="default" w:ascii="仿宋_GB2312" w:hAnsi="Times New Roman" w:eastAsia="仿宋_GB2312" w:cs="Times New Roman"/>
          <w:color w:val="auto"/>
          <w:sz w:val="32"/>
          <w:szCs w:val="22"/>
          <w:lang w:val="en-US"/>
        </w:rPr>
        <w:t>等有关部门和县(区)人民政府, 相关电力企业及重要电力用户应按照有关规定, 对大面积停电事件处置工作提供必要的资金保障。</w:t>
      </w:r>
    </w:p>
    <w:p>
      <w:pPr>
        <w:pStyle w:val="2"/>
        <w:keepNext w:val="0"/>
        <w:keepLines w:val="0"/>
        <w:spacing w:before="78" w:beforeLines="25" w:after="78" w:afterLines="25"/>
        <w:ind w:firstLine="642" w:firstLineChars="200"/>
        <w:rPr>
          <w:rFonts w:hint="default" w:ascii="黑体" w:hAnsi="黑体" w:cs="Times New Roman"/>
          <w:b/>
          <w:color w:val="auto"/>
          <w:sz w:val="32"/>
          <w:szCs w:val="22"/>
          <w:lang w:val="en-US" w:eastAsia="zh-CN"/>
        </w:rPr>
      </w:pPr>
      <w:bookmarkStart w:id="37" w:name="_Toc2306"/>
      <w:r>
        <w:rPr>
          <w:rFonts w:hint="default" w:ascii="黑体" w:hAnsi="黑体" w:cs="Times New Roman"/>
          <w:b/>
          <w:color w:val="auto"/>
          <w:sz w:val="32"/>
          <w:szCs w:val="22"/>
          <w:lang w:val="en-US" w:eastAsia="zh-CN"/>
        </w:rPr>
        <w:t>7 宣传、培训和演练</w:t>
      </w:r>
      <w:bookmarkEnd w:id="37"/>
    </w:p>
    <w:p>
      <w:pPr>
        <w:autoSpaceDE w:val="0"/>
        <w:autoSpaceDN w:val="0"/>
        <w:adjustRightInd w:val="0"/>
        <w:spacing w:before="78" w:beforeLines="25" w:after="78" w:afterLines="25" w:line="580" w:lineRule="exact"/>
        <w:ind w:firstLine="642" w:firstLineChars="200"/>
        <w:outlineLvl w:val="1"/>
        <w:rPr>
          <w:rFonts w:hint="default" w:ascii="仿宋_GB2312" w:hAnsi="Times New Roman" w:eastAsia="仿宋_GB2312" w:cs="Times New Roman"/>
          <w:b/>
          <w:color w:val="auto"/>
          <w:kern w:val="44"/>
          <w:sz w:val="32"/>
          <w:szCs w:val="22"/>
          <w:lang w:val="en-US" w:eastAsia="zh-CN"/>
        </w:rPr>
      </w:pPr>
      <w:bookmarkStart w:id="38" w:name="_Toc6407"/>
      <w:r>
        <w:rPr>
          <w:rFonts w:hint="default" w:ascii="仿宋_GB2312" w:hAnsi="Times New Roman" w:eastAsia="仿宋_GB2312" w:cs="Times New Roman"/>
          <w:b/>
          <w:color w:val="auto"/>
          <w:kern w:val="44"/>
          <w:sz w:val="32"/>
          <w:szCs w:val="22"/>
          <w:lang w:val="en-US" w:eastAsia="zh-CN"/>
        </w:rPr>
        <w:t>7.1 宣传</w:t>
      </w:r>
      <w:bookmarkEnd w:id="38"/>
    </w:p>
    <w:p>
      <w:pPr>
        <w:spacing w:before="78" w:beforeLines="25" w:after="78" w:afterLines="25" w:line="580" w:lineRule="exact"/>
        <w:ind w:firstLine="640" w:firstLineChars="200"/>
        <w:rPr>
          <w:rFonts w:hint="default" w:ascii="仿宋_GB2312" w:hAnsi="Times New Roman" w:eastAsia="仿宋_GB2312" w:cs="Times New Roman"/>
          <w:color w:val="auto"/>
          <w:sz w:val="32"/>
          <w:szCs w:val="22"/>
          <w:lang w:val="en-US"/>
        </w:rPr>
      </w:pP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rPr>
        <w:t>发展改革委、</w:t>
      </w:r>
      <w:r>
        <w:rPr>
          <w:rFonts w:hint="eastAsia" w:ascii="仿宋_GB2312" w:hAnsi="Times New Roman" w:eastAsia="仿宋_GB2312" w:cs="Times New Roman"/>
          <w:color w:val="auto"/>
          <w:sz w:val="32"/>
          <w:szCs w:val="22"/>
          <w:lang w:val="en-US" w:eastAsia="zh-CN"/>
        </w:rPr>
        <w:t>国网吴忠供电公司、国网宁东供电公司</w:t>
      </w:r>
      <w:r>
        <w:rPr>
          <w:rFonts w:hint="default" w:ascii="仿宋_GB2312" w:hAnsi="Times New Roman" w:eastAsia="仿宋_GB2312" w:cs="Times New Roman"/>
          <w:color w:val="auto"/>
          <w:sz w:val="32"/>
          <w:szCs w:val="22"/>
          <w:lang w:val="en-US"/>
        </w:rPr>
        <w:t>、各发电企业和重要电力用户要通过各种新闻媒体向社会宣传紧急情况下如何采取正确的措施进行处置, 不断增强公众的自我保护意识。</w:t>
      </w:r>
      <w:r>
        <w:rPr>
          <w:rFonts w:hint="eastAsia" w:ascii="仿宋_GB2312" w:hAnsi="Times New Roman" w:eastAsia="仿宋_GB2312" w:cs="Times New Roman"/>
          <w:color w:val="auto"/>
          <w:sz w:val="32"/>
          <w:szCs w:val="22"/>
          <w:lang w:val="en-US" w:eastAsia="zh-CN"/>
        </w:rPr>
        <w:t>国网吴忠供电公司、国网宁东供电公司</w:t>
      </w:r>
      <w:r>
        <w:rPr>
          <w:rFonts w:hint="default" w:ascii="仿宋_GB2312" w:hAnsi="Times New Roman" w:eastAsia="仿宋_GB2312" w:cs="Times New Roman"/>
          <w:color w:val="auto"/>
          <w:sz w:val="32"/>
          <w:szCs w:val="22"/>
          <w:lang w:val="en-US"/>
        </w:rPr>
        <w:t>加大电力设施保护宣传力度, 增强社会各界的电力设施保护意识。</w:t>
      </w:r>
    </w:p>
    <w:p>
      <w:pPr>
        <w:autoSpaceDE w:val="0"/>
        <w:autoSpaceDN w:val="0"/>
        <w:adjustRightInd w:val="0"/>
        <w:spacing w:before="78" w:beforeLines="25" w:after="78" w:afterLines="25" w:line="580" w:lineRule="exact"/>
        <w:ind w:firstLine="642" w:firstLineChars="200"/>
        <w:outlineLvl w:val="1"/>
        <w:rPr>
          <w:rFonts w:hint="default" w:ascii="仿宋_GB2312" w:hAnsi="Times New Roman" w:eastAsia="仿宋_GB2312" w:cs="Times New Roman"/>
          <w:b/>
          <w:color w:val="auto"/>
          <w:kern w:val="44"/>
          <w:sz w:val="32"/>
          <w:szCs w:val="22"/>
          <w:lang w:val="en-US" w:eastAsia="zh-CN"/>
        </w:rPr>
      </w:pPr>
      <w:bookmarkStart w:id="39" w:name="_Toc2427"/>
      <w:r>
        <w:rPr>
          <w:rFonts w:hint="default" w:ascii="仿宋_GB2312" w:hAnsi="Times New Roman" w:eastAsia="仿宋_GB2312" w:cs="Times New Roman"/>
          <w:b/>
          <w:color w:val="auto"/>
          <w:kern w:val="44"/>
          <w:sz w:val="32"/>
          <w:szCs w:val="22"/>
          <w:lang w:val="en-US" w:eastAsia="zh-CN"/>
        </w:rPr>
        <w:t>7.2 培训</w:t>
      </w:r>
      <w:bookmarkEnd w:id="39"/>
    </w:p>
    <w:p>
      <w:pPr>
        <w:spacing w:before="78" w:beforeLines="25" w:after="78" w:afterLines="25" w:line="580" w:lineRule="exact"/>
        <w:ind w:firstLine="640" w:firstLineChars="200"/>
        <w:rPr>
          <w:rFonts w:hint="default"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各电力企业和重要电力用户加强对全体员工的事故防范安全生产教育和应急救援教育, 定期组织开展学习和培训, 并通过专业人员的技术交流和研讨, 提高应急救援业务知识水平。</w:t>
      </w:r>
    </w:p>
    <w:p>
      <w:pPr>
        <w:autoSpaceDE w:val="0"/>
        <w:autoSpaceDN w:val="0"/>
        <w:adjustRightInd w:val="0"/>
        <w:spacing w:before="78" w:beforeLines="25" w:after="78" w:afterLines="25" w:line="580" w:lineRule="exact"/>
        <w:ind w:firstLine="642" w:firstLineChars="200"/>
        <w:outlineLvl w:val="1"/>
        <w:rPr>
          <w:rFonts w:hint="default" w:ascii="仿宋_GB2312" w:hAnsi="Times New Roman" w:eastAsia="仿宋_GB2312" w:cs="Times New Roman"/>
          <w:b/>
          <w:color w:val="auto"/>
          <w:kern w:val="44"/>
          <w:sz w:val="32"/>
          <w:szCs w:val="22"/>
          <w:lang w:val="en-US" w:eastAsia="zh-CN"/>
        </w:rPr>
      </w:pPr>
      <w:bookmarkStart w:id="40" w:name="_Toc14856"/>
      <w:r>
        <w:rPr>
          <w:rFonts w:hint="default" w:ascii="仿宋_GB2312" w:hAnsi="Times New Roman" w:eastAsia="仿宋_GB2312" w:cs="Times New Roman"/>
          <w:b/>
          <w:color w:val="auto"/>
          <w:kern w:val="44"/>
          <w:sz w:val="32"/>
          <w:szCs w:val="22"/>
          <w:lang w:val="en-US" w:eastAsia="zh-CN"/>
        </w:rPr>
        <w:t>7.3 演练</w:t>
      </w:r>
      <w:bookmarkEnd w:id="40"/>
    </w:p>
    <w:p>
      <w:pPr>
        <w:spacing w:before="78" w:beforeLines="25" w:after="78" w:afterLines="25" w:line="580" w:lineRule="exact"/>
        <w:ind w:firstLine="640" w:firstLineChars="200"/>
        <w:rPr>
          <w:rFonts w:hint="default" w:ascii="仿宋_GB2312" w:hAnsi="Times New Roman" w:eastAsia="仿宋_GB2312" w:cs="Times New Roman"/>
          <w:color w:val="auto"/>
          <w:sz w:val="32"/>
          <w:szCs w:val="22"/>
          <w:lang w:val="en-US"/>
        </w:rPr>
      </w:pP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rPr>
        <w:t>大面积停电应急指挥部办公室每年协调组织开展1次</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rPr>
        <w:t>大面积停电事件应急联合演练, 县(区)人民政府大面积停电应急指挥部每年至少应协调组织开展1次本行政区域大面积停电事件应急演练, 加强和完善部门、社会机构和各电力企业之间的协调配合工作。各电力企业应根据自身特点,定期组织开展应急演练。</w:t>
      </w:r>
    </w:p>
    <w:p>
      <w:pPr>
        <w:pStyle w:val="2"/>
        <w:keepNext w:val="0"/>
        <w:keepLines w:val="0"/>
        <w:spacing w:before="78" w:beforeLines="25" w:after="78" w:afterLines="25"/>
        <w:ind w:firstLine="642" w:firstLineChars="200"/>
        <w:rPr>
          <w:rFonts w:hint="default" w:ascii="黑体" w:hAnsi="黑体" w:cs="Times New Roman"/>
          <w:b/>
          <w:color w:val="auto"/>
          <w:sz w:val="32"/>
          <w:szCs w:val="22"/>
          <w:lang w:val="en-US" w:eastAsia="zh-CN"/>
        </w:rPr>
      </w:pPr>
      <w:bookmarkStart w:id="41" w:name="_Toc14420"/>
      <w:r>
        <w:rPr>
          <w:rFonts w:hint="default" w:ascii="黑体" w:hAnsi="黑体" w:cs="Times New Roman"/>
          <w:b/>
          <w:color w:val="auto"/>
          <w:sz w:val="32"/>
          <w:szCs w:val="22"/>
          <w:lang w:val="en-US" w:eastAsia="zh-CN"/>
        </w:rPr>
        <w:t>8 附则</w:t>
      </w:r>
      <w:bookmarkEnd w:id="41"/>
    </w:p>
    <w:p>
      <w:pPr>
        <w:autoSpaceDE w:val="0"/>
        <w:autoSpaceDN w:val="0"/>
        <w:adjustRightInd w:val="0"/>
        <w:spacing w:before="78" w:beforeLines="25" w:after="78" w:afterLines="25" w:line="580" w:lineRule="exact"/>
        <w:ind w:firstLine="642" w:firstLineChars="200"/>
        <w:outlineLvl w:val="1"/>
        <w:rPr>
          <w:rFonts w:hint="default" w:ascii="仿宋_GB2312" w:hAnsi="Times New Roman" w:eastAsia="仿宋_GB2312" w:cs="Times New Roman"/>
          <w:b/>
          <w:color w:val="auto"/>
          <w:kern w:val="44"/>
          <w:sz w:val="32"/>
          <w:szCs w:val="22"/>
          <w:lang w:val="en-US" w:eastAsia="zh-CN"/>
        </w:rPr>
      </w:pPr>
      <w:bookmarkStart w:id="42" w:name="_Toc3207"/>
      <w:r>
        <w:rPr>
          <w:rFonts w:hint="default" w:ascii="仿宋_GB2312" w:hAnsi="Times New Roman" w:eastAsia="仿宋_GB2312" w:cs="Times New Roman"/>
          <w:b/>
          <w:color w:val="auto"/>
          <w:kern w:val="44"/>
          <w:sz w:val="32"/>
          <w:szCs w:val="22"/>
          <w:lang w:val="en-US" w:eastAsia="zh-CN"/>
        </w:rPr>
        <w:t>8.1 预案管理</w:t>
      </w:r>
      <w:bookmarkEnd w:id="42"/>
    </w:p>
    <w:p>
      <w:pPr>
        <w:spacing w:before="78" w:beforeLines="25" w:after="78" w:afterLines="25" w:line="580" w:lineRule="exact"/>
        <w:ind w:firstLine="640" w:firstLineChars="200"/>
        <w:rPr>
          <w:rFonts w:hint="default"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 xml:space="preserve">本预案实施后, </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rPr>
        <w:t>发展改革委会同</w:t>
      </w:r>
      <w:r>
        <w:rPr>
          <w:rFonts w:hint="eastAsia" w:ascii="仿宋_GB2312" w:hAnsi="Times New Roman" w:eastAsia="仿宋_GB2312" w:cs="Times New Roman"/>
          <w:color w:val="auto"/>
          <w:sz w:val="32"/>
          <w:szCs w:val="22"/>
          <w:lang w:val="en-US" w:eastAsia="zh-CN"/>
        </w:rPr>
        <w:t>国网吴忠供电公司、国网宁东供电公司</w:t>
      </w:r>
      <w:r>
        <w:rPr>
          <w:rFonts w:hint="default" w:ascii="仿宋_GB2312" w:hAnsi="Times New Roman" w:eastAsia="仿宋_GB2312" w:cs="Times New Roman"/>
          <w:color w:val="auto"/>
          <w:sz w:val="32"/>
          <w:szCs w:val="22"/>
          <w:lang w:val="en-US"/>
        </w:rPr>
        <w:t>及有关部门组织预案宣传、培训和演练, 根据实际情况负责组织本预案的评估与修订工作。县(区)人民政府要结合当地实际修订本地区大面积停电事件应急预案。</w:t>
      </w:r>
    </w:p>
    <w:p>
      <w:pPr>
        <w:autoSpaceDE w:val="0"/>
        <w:autoSpaceDN w:val="0"/>
        <w:adjustRightInd w:val="0"/>
        <w:spacing w:before="78" w:beforeLines="25" w:after="78" w:afterLines="25" w:line="580" w:lineRule="exact"/>
        <w:ind w:firstLine="642" w:firstLineChars="200"/>
        <w:outlineLvl w:val="1"/>
        <w:rPr>
          <w:rFonts w:hint="default" w:ascii="仿宋_GB2312" w:hAnsi="Times New Roman" w:eastAsia="仿宋_GB2312" w:cs="Times New Roman"/>
          <w:b/>
          <w:color w:val="auto"/>
          <w:kern w:val="44"/>
          <w:sz w:val="32"/>
          <w:szCs w:val="22"/>
          <w:lang w:val="en-US" w:eastAsia="zh-CN"/>
        </w:rPr>
      </w:pPr>
      <w:bookmarkStart w:id="43" w:name="_Toc26072"/>
      <w:r>
        <w:rPr>
          <w:rFonts w:hint="default" w:ascii="仿宋_GB2312" w:hAnsi="Times New Roman" w:eastAsia="仿宋_GB2312" w:cs="Times New Roman"/>
          <w:b/>
          <w:color w:val="auto"/>
          <w:kern w:val="44"/>
          <w:sz w:val="32"/>
          <w:szCs w:val="22"/>
          <w:lang w:val="en-US" w:eastAsia="zh-CN"/>
        </w:rPr>
        <w:t>8.2 预案解释</w:t>
      </w:r>
      <w:bookmarkEnd w:id="43"/>
    </w:p>
    <w:p>
      <w:pPr>
        <w:spacing w:before="78" w:beforeLines="25" w:after="78" w:afterLines="25" w:line="580" w:lineRule="exact"/>
        <w:ind w:firstLine="640" w:firstLineChars="200"/>
        <w:rPr>
          <w:rFonts w:hint="default"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本预案由</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rPr>
        <w:t>发展改革委负责解释。</w:t>
      </w:r>
    </w:p>
    <w:p>
      <w:pPr>
        <w:autoSpaceDE w:val="0"/>
        <w:autoSpaceDN w:val="0"/>
        <w:adjustRightInd w:val="0"/>
        <w:spacing w:before="78" w:beforeLines="25" w:after="78" w:afterLines="25" w:line="580" w:lineRule="exact"/>
        <w:ind w:firstLine="642" w:firstLineChars="200"/>
        <w:outlineLvl w:val="1"/>
        <w:rPr>
          <w:rFonts w:hint="default" w:ascii="仿宋_GB2312" w:hAnsi="Times New Roman" w:eastAsia="仿宋_GB2312" w:cs="Times New Roman"/>
          <w:b/>
          <w:color w:val="auto"/>
          <w:kern w:val="44"/>
          <w:sz w:val="32"/>
          <w:szCs w:val="22"/>
          <w:lang w:val="en-US" w:eastAsia="zh-CN"/>
        </w:rPr>
      </w:pPr>
      <w:bookmarkStart w:id="44" w:name="_Toc20117"/>
      <w:r>
        <w:rPr>
          <w:rFonts w:hint="default" w:ascii="仿宋_GB2312" w:hAnsi="Times New Roman" w:eastAsia="仿宋_GB2312" w:cs="Times New Roman"/>
          <w:b/>
          <w:color w:val="auto"/>
          <w:kern w:val="44"/>
          <w:sz w:val="32"/>
          <w:szCs w:val="22"/>
          <w:lang w:val="en-US" w:eastAsia="zh-CN"/>
        </w:rPr>
        <w:t>8.3 预案实施</w:t>
      </w:r>
      <w:bookmarkEnd w:id="44"/>
    </w:p>
    <w:p>
      <w:pPr>
        <w:spacing w:before="78" w:beforeLines="25" w:after="78" w:afterLines="25" w:line="580" w:lineRule="exact"/>
        <w:ind w:firstLine="640" w:firstLineChars="200"/>
        <w:rPr>
          <w:rFonts w:hint="default"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本预案自印发之日起实施。</w:t>
      </w:r>
    </w:p>
    <w:p>
      <w:pPr>
        <w:spacing w:before="78" w:beforeLines="25" w:after="78" w:afterLines="25" w:line="580" w:lineRule="exact"/>
        <w:ind w:firstLine="640" w:firstLineChars="200"/>
        <w:rPr>
          <w:rFonts w:hint="default" w:ascii="仿宋_GB2312" w:hAnsi="Times New Roman" w:eastAsia="仿宋_GB2312" w:cs="Times New Roman"/>
          <w:color w:val="auto"/>
          <w:sz w:val="32"/>
          <w:szCs w:val="22"/>
          <w:lang w:val="en-US"/>
        </w:rPr>
      </w:pPr>
    </w:p>
    <w:p>
      <w:pPr>
        <w:spacing w:before="78" w:beforeLines="25" w:after="78" w:afterLines="25" w:line="580" w:lineRule="exact"/>
        <w:ind w:firstLine="640" w:firstLineChars="200"/>
        <w:rPr>
          <w:rFonts w:hint="default" w:ascii="仿宋_GB2312" w:hAnsi="Times New Roman" w:eastAsia="仿宋_GB2312" w:cs="Times New Roman"/>
          <w:color w:val="auto"/>
          <w:sz w:val="32"/>
          <w:szCs w:val="22"/>
          <w:lang w:val="en-US"/>
        </w:rPr>
      </w:pP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附件：1.大面积停电事件分级标准</w:t>
      </w:r>
    </w:p>
    <w:p>
      <w:pPr>
        <w:spacing w:before="78" w:beforeLines="25" w:after="78" w:afterLines="25" w:line="580" w:lineRule="exact"/>
        <w:ind w:firstLine="1600" w:firstLineChars="500"/>
        <w:rPr>
          <w:rFonts w:hint="default"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eastAsia="zh-CN"/>
        </w:rPr>
        <w:t>2.</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eastAsia="zh-CN"/>
        </w:rPr>
        <w:t>大面积停电事件应急响应流程图</w:t>
      </w:r>
    </w:p>
    <w:p>
      <w:pPr>
        <w:spacing w:before="78" w:beforeLines="25" w:after="78" w:afterLines="25" w:line="580" w:lineRule="exact"/>
        <w:ind w:firstLine="640" w:firstLineChars="200"/>
        <w:rPr>
          <w:rFonts w:hint="default" w:ascii="仿宋_GB2312" w:hAnsi="Times New Roman" w:eastAsia="仿宋_GB2312" w:cs="Times New Roman"/>
          <w:color w:val="auto"/>
          <w:sz w:val="32"/>
          <w:szCs w:val="22"/>
          <w:lang w:val="en-US"/>
        </w:rPr>
      </w:pPr>
      <w:r>
        <w:rPr>
          <w:rFonts w:hint="default" w:ascii="仿宋_GB2312" w:hAnsi="Times New Roman" w:eastAsia="仿宋_GB2312" w:cs="Times New Roman"/>
          <w:color w:val="auto"/>
          <w:sz w:val="32"/>
          <w:szCs w:val="22"/>
          <w:lang w:val="en-US"/>
        </w:rPr>
        <w:t>   </w:t>
      </w:r>
      <w:r>
        <w:rPr>
          <w:rFonts w:hint="eastAsia" w:ascii="仿宋_GB2312" w:hAnsi="Times New Roman" w:eastAsia="仿宋_GB2312" w:cs="Times New Roman"/>
          <w:color w:val="auto"/>
          <w:sz w:val="32"/>
          <w:szCs w:val="22"/>
          <w:lang w:val="en-US" w:eastAsia="zh-CN"/>
        </w:rPr>
        <w:t xml:space="preserve">   </w:t>
      </w:r>
      <w:r>
        <w:rPr>
          <w:rFonts w:hint="default" w:ascii="仿宋_GB2312" w:hAnsi="Times New Roman" w:eastAsia="仿宋_GB2312" w:cs="Times New Roman"/>
          <w:color w:val="auto"/>
          <w:sz w:val="32"/>
          <w:szCs w:val="22"/>
          <w:lang w:val="en-US"/>
        </w:rPr>
        <w:t>   3.</w:t>
      </w:r>
      <w:r>
        <w:rPr>
          <w:rFonts w:hint="eastAsia" w:ascii="仿宋_GB2312" w:hAnsi="Times New Roman" w:eastAsia="仿宋_GB2312" w:cs="Times New Roman"/>
          <w:color w:val="auto"/>
          <w:sz w:val="32"/>
          <w:szCs w:val="22"/>
          <w:lang w:val="en-US" w:eastAsia="zh-CN"/>
        </w:rPr>
        <w:t>吴忠市</w:t>
      </w:r>
      <w:r>
        <w:rPr>
          <w:rFonts w:hint="default" w:ascii="仿宋_GB2312" w:hAnsi="Times New Roman" w:eastAsia="仿宋_GB2312" w:cs="Times New Roman"/>
          <w:color w:val="auto"/>
          <w:sz w:val="32"/>
          <w:szCs w:val="22"/>
          <w:lang w:val="en-US"/>
        </w:rPr>
        <w:t>大面积停电应急指挥部各成员单位职责</w:t>
      </w: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rPr>
      </w:pPr>
    </w:p>
    <w:p>
      <w:pPr>
        <w:spacing w:before="78" w:beforeLines="25" w:after="78" w:afterLines="25" w:line="580" w:lineRule="exact"/>
        <w:ind w:firstLine="640" w:firstLineChars="200"/>
        <w:rPr>
          <w:rFonts w:hint="eastAsia" w:ascii="仿宋_GB2312" w:hAnsi="Times New Roman" w:eastAsia="仿宋_GB2312" w:cs="Times New Roman"/>
          <w:color w:val="auto"/>
          <w:sz w:val="32"/>
          <w:szCs w:val="22"/>
          <w:lang w:val="en-US"/>
        </w:rPr>
        <w:sectPr>
          <w:footerReference r:id="rId3" w:type="default"/>
          <w:pgSz w:w="11900" w:h="16840"/>
          <w:pgMar w:top="1580" w:right="1140" w:bottom="1640" w:left="1300" w:header="0" w:footer="1444" w:gutter="0"/>
          <w:pgNumType w:fmt="decimal" w:start="1"/>
          <w:cols w:space="720" w:num="1"/>
        </w:sectPr>
      </w:pPr>
    </w:p>
    <w:p>
      <w:pPr>
        <w:autoSpaceDE w:val="0"/>
        <w:autoSpaceDN w:val="0"/>
        <w:adjustRightInd w:val="0"/>
        <w:spacing w:line="580" w:lineRule="exact"/>
        <w:ind w:firstLine="642" w:firstLineChars="200"/>
        <w:outlineLvl w:val="1"/>
        <w:rPr>
          <w:rFonts w:hint="eastAsia" w:ascii="仿宋" w:hAnsi="仿宋" w:eastAsia="仿宋" w:cs="仿宋"/>
          <w:b/>
          <w:color w:val="auto"/>
          <w:kern w:val="44"/>
          <w:sz w:val="32"/>
          <w:szCs w:val="32"/>
          <w:lang w:val="en-US"/>
        </w:rPr>
      </w:pPr>
      <w:bookmarkStart w:id="45" w:name="_Toc4863"/>
      <w:r>
        <w:rPr>
          <w:rFonts w:hint="eastAsia" w:ascii="仿宋" w:hAnsi="仿宋" w:eastAsia="仿宋" w:cs="仿宋"/>
          <w:b/>
          <w:color w:val="auto"/>
          <w:kern w:val="44"/>
          <w:sz w:val="32"/>
          <w:szCs w:val="32"/>
          <w:lang w:val="en-US"/>
        </w:rPr>
        <w:t>附件</w:t>
      </w:r>
      <w:r>
        <w:rPr>
          <w:rFonts w:hint="eastAsia" w:ascii="仿宋" w:hAnsi="仿宋" w:eastAsia="仿宋" w:cs="仿宋"/>
          <w:b/>
          <w:color w:val="auto"/>
          <w:kern w:val="44"/>
          <w:sz w:val="32"/>
          <w:szCs w:val="32"/>
          <w:lang w:val="en-US" w:eastAsia="zh-CN"/>
        </w:rPr>
        <w:t>1：</w:t>
      </w:r>
      <w:r>
        <w:rPr>
          <w:rFonts w:hint="eastAsia" w:ascii="仿宋" w:hAnsi="仿宋" w:eastAsia="仿宋" w:cs="仿宋"/>
          <w:b/>
          <w:color w:val="auto"/>
          <w:kern w:val="44"/>
          <w:sz w:val="32"/>
          <w:szCs w:val="32"/>
          <w:lang w:val="en-US"/>
        </w:rPr>
        <w:t>大面积停电事件分级标准</w:t>
      </w:r>
      <w:bookmarkEnd w:id="45"/>
    </w:p>
    <w:p>
      <w:pPr>
        <w:spacing w:before="78" w:beforeLines="25" w:after="78" w:afterLines="25"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《电力安全事故应急处置和调查处理条例》，</w:t>
      </w:r>
      <w:r>
        <w:rPr>
          <w:rFonts w:hint="eastAsia" w:ascii="仿宋" w:hAnsi="仿宋" w:eastAsia="仿宋" w:cs="仿宋"/>
          <w:color w:val="auto"/>
          <w:sz w:val="32"/>
          <w:szCs w:val="32"/>
        </w:rPr>
        <w:t>按照电网停电范围和事件严重程度, 大面积停电事件分为特别重大、重大、较大和一般四个级别。</w:t>
      </w:r>
    </w:p>
    <w:p>
      <w:pPr>
        <w:spacing w:before="78" w:beforeLines="25" w:after="78" w:afterLines="25" w:line="580" w:lineRule="exact"/>
        <w:ind w:firstLine="642"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特别重大大面积停电事件</w:t>
      </w:r>
    </w:p>
    <w:p>
      <w:pPr>
        <w:spacing w:before="78" w:beforeLines="25" w:after="78" w:afterLines="25"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区域性电网：减供负荷30%以上</w:t>
      </w:r>
      <w:r>
        <w:rPr>
          <w:rFonts w:hint="eastAsia" w:ascii="仿宋" w:hAnsi="仿宋" w:eastAsia="仿宋" w:cs="仿宋"/>
          <w:color w:val="auto"/>
          <w:sz w:val="32"/>
          <w:szCs w:val="32"/>
          <w:lang w:eastAsia="zh-CN"/>
        </w:rPr>
        <w:t>，停电范围包括吴忠电网的</w:t>
      </w:r>
      <w:r>
        <w:rPr>
          <w:rFonts w:hint="eastAsia" w:ascii="仿宋" w:hAnsi="仿宋" w:eastAsia="仿宋" w:cs="仿宋"/>
          <w:color w:val="auto"/>
          <w:sz w:val="32"/>
          <w:szCs w:val="32"/>
        </w:rPr>
        <w:t>。</w:t>
      </w:r>
    </w:p>
    <w:p>
      <w:pPr>
        <w:spacing w:before="78" w:beforeLines="25" w:after="78" w:afterLines="25"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2.宁夏电网：负荷5000兆瓦以上20000兆瓦以下的减供负荷40%以上</w:t>
      </w:r>
      <w:r>
        <w:rPr>
          <w:rFonts w:hint="eastAsia" w:ascii="仿宋" w:hAnsi="仿宋" w:eastAsia="仿宋" w:cs="仿宋"/>
          <w:color w:val="auto"/>
          <w:sz w:val="32"/>
          <w:szCs w:val="32"/>
          <w:lang w:eastAsia="zh-CN"/>
        </w:rPr>
        <w:t>，停电范围包括吴忠电网的</w:t>
      </w:r>
      <w:r>
        <w:rPr>
          <w:rFonts w:hint="eastAsia" w:ascii="仿宋" w:hAnsi="仿宋" w:eastAsia="仿宋" w:cs="仿宋"/>
          <w:color w:val="auto"/>
          <w:sz w:val="32"/>
          <w:szCs w:val="32"/>
        </w:rPr>
        <w:t>。</w:t>
      </w:r>
    </w:p>
    <w:p>
      <w:pPr>
        <w:spacing w:before="78" w:beforeLines="25" w:after="78" w:afterLines="25" w:line="580" w:lineRule="exact"/>
        <w:ind w:firstLine="642"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二、重大大面积停电事件</w:t>
      </w:r>
    </w:p>
    <w:p>
      <w:pPr>
        <w:spacing w:before="78" w:beforeLines="25" w:after="78" w:afterLines="25"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1.区域性电网：减供负荷10%以上30%以下</w:t>
      </w:r>
      <w:r>
        <w:rPr>
          <w:rFonts w:hint="eastAsia" w:ascii="仿宋" w:hAnsi="仿宋" w:eastAsia="仿宋" w:cs="仿宋"/>
          <w:color w:val="auto"/>
          <w:sz w:val="32"/>
          <w:szCs w:val="32"/>
          <w:lang w:eastAsia="zh-CN"/>
        </w:rPr>
        <w:t>，停电范围包括吴忠电网的</w:t>
      </w:r>
      <w:r>
        <w:rPr>
          <w:rFonts w:hint="eastAsia" w:ascii="仿宋" w:hAnsi="仿宋" w:eastAsia="仿宋" w:cs="仿宋"/>
          <w:color w:val="auto"/>
          <w:sz w:val="32"/>
          <w:szCs w:val="32"/>
        </w:rPr>
        <w:t>。</w:t>
      </w:r>
    </w:p>
    <w:p>
      <w:pPr>
        <w:spacing w:before="78" w:beforeLines="25" w:after="78" w:afterLines="25"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2.宁夏电网：负荷5000兆瓦以上20000兆瓦以下的减供负荷16%以上40%以下</w:t>
      </w:r>
      <w:r>
        <w:rPr>
          <w:rFonts w:hint="eastAsia" w:ascii="仿宋" w:hAnsi="仿宋" w:eastAsia="仿宋" w:cs="仿宋"/>
          <w:color w:val="auto"/>
          <w:sz w:val="32"/>
          <w:szCs w:val="32"/>
          <w:lang w:eastAsia="zh-CN"/>
        </w:rPr>
        <w:t>，停电范围包括吴忠电网的</w:t>
      </w:r>
      <w:r>
        <w:rPr>
          <w:rFonts w:hint="eastAsia" w:ascii="仿宋" w:hAnsi="仿宋" w:eastAsia="仿宋" w:cs="仿宋"/>
          <w:color w:val="auto"/>
          <w:sz w:val="32"/>
          <w:szCs w:val="32"/>
        </w:rPr>
        <w:t>。</w:t>
      </w:r>
    </w:p>
    <w:p>
      <w:pPr>
        <w:spacing w:before="78" w:beforeLines="25" w:after="78" w:afterLines="25"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吴忠</w:t>
      </w:r>
      <w:r>
        <w:rPr>
          <w:rFonts w:hint="eastAsia" w:ascii="仿宋" w:hAnsi="仿宋" w:eastAsia="仿宋" w:cs="仿宋"/>
          <w:color w:val="auto"/>
          <w:sz w:val="32"/>
          <w:szCs w:val="32"/>
        </w:rPr>
        <w:t>电网：负荷600兆瓦以上的减供负荷60%以上，或70%以上供电用户停电。</w:t>
      </w:r>
    </w:p>
    <w:p>
      <w:pPr>
        <w:spacing w:before="78" w:beforeLines="25" w:after="78" w:afterLines="25" w:line="580" w:lineRule="exact"/>
        <w:ind w:firstLine="642"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三、较大大面积停电事件</w:t>
      </w:r>
    </w:p>
    <w:p>
      <w:pPr>
        <w:spacing w:before="78" w:beforeLines="25" w:after="78" w:afterLines="25"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1.区域性电网：减供负荷7%以上10%以下</w:t>
      </w:r>
      <w:r>
        <w:rPr>
          <w:rFonts w:hint="eastAsia" w:ascii="仿宋" w:hAnsi="仿宋" w:eastAsia="仿宋" w:cs="仿宋"/>
          <w:color w:val="auto"/>
          <w:sz w:val="32"/>
          <w:szCs w:val="32"/>
          <w:lang w:eastAsia="zh-CN"/>
        </w:rPr>
        <w:t>，停电范围包括吴忠电网的</w:t>
      </w:r>
      <w:r>
        <w:rPr>
          <w:rFonts w:hint="eastAsia" w:ascii="仿宋" w:hAnsi="仿宋" w:eastAsia="仿宋" w:cs="仿宋"/>
          <w:color w:val="auto"/>
          <w:sz w:val="32"/>
          <w:szCs w:val="32"/>
        </w:rPr>
        <w:t>。</w:t>
      </w:r>
    </w:p>
    <w:p>
      <w:pPr>
        <w:spacing w:before="78" w:beforeLines="25" w:after="78" w:afterLines="25"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2.宁夏电网：负荷5000兆瓦以上20000兆瓦以下的减供负荷12%以上16%以下</w:t>
      </w:r>
      <w:r>
        <w:rPr>
          <w:rFonts w:hint="eastAsia" w:ascii="仿宋" w:hAnsi="仿宋" w:eastAsia="仿宋" w:cs="仿宋"/>
          <w:color w:val="auto"/>
          <w:sz w:val="32"/>
          <w:szCs w:val="32"/>
          <w:lang w:eastAsia="zh-CN"/>
        </w:rPr>
        <w:t>，停电范围包括吴忠电网的</w:t>
      </w:r>
      <w:r>
        <w:rPr>
          <w:rFonts w:hint="eastAsia" w:ascii="仿宋" w:hAnsi="仿宋" w:eastAsia="仿宋" w:cs="仿宋"/>
          <w:color w:val="auto"/>
          <w:sz w:val="32"/>
          <w:szCs w:val="32"/>
        </w:rPr>
        <w:t>。</w:t>
      </w:r>
    </w:p>
    <w:p>
      <w:pPr>
        <w:spacing w:before="78" w:beforeLines="25" w:after="78" w:afterLines="25"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吴忠</w:t>
      </w:r>
      <w:r>
        <w:rPr>
          <w:rFonts w:hint="eastAsia" w:ascii="仿宋" w:hAnsi="仿宋" w:eastAsia="仿宋" w:cs="仿宋"/>
          <w:color w:val="auto"/>
          <w:sz w:val="32"/>
          <w:szCs w:val="32"/>
        </w:rPr>
        <w:t>电网：负荷600兆瓦以上的减供负荷40%以上60%以下，或50%以上70%以下供电用户停电。</w:t>
      </w:r>
    </w:p>
    <w:p>
      <w:pPr>
        <w:spacing w:before="78" w:beforeLines="25" w:after="78" w:afterLines="25"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.县级市电网：负荷150兆瓦以上的减供负荷60%以上，或70%以上供电用户停电。</w:t>
      </w:r>
    </w:p>
    <w:p>
      <w:pPr>
        <w:spacing w:before="78" w:beforeLines="25" w:after="78" w:afterLines="25" w:line="580" w:lineRule="exact"/>
        <w:ind w:firstLine="642"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四、一般大面积停电事件</w:t>
      </w:r>
    </w:p>
    <w:p>
      <w:pPr>
        <w:spacing w:before="78" w:beforeLines="25" w:after="78" w:afterLines="25"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1.区域性电网：减供负荷4%以上7%以下</w:t>
      </w:r>
      <w:r>
        <w:rPr>
          <w:rFonts w:hint="eastAsia" w:ascii="仿宋" w:hAnsi="仿宋" w:eastAsia="仿宋" w:cs="仿宋"/>
          <w:color w:val="auto"/>
          <w:sz w:val="32"/>
          <w:szCs w:val="32"/>
          <w:lang w:eastAsia="zh-CN"/>
        </w:rPr>
        <w:t>，停电范围包括吴忠电网的</w:t>
      </w:r>
      <w:r>
        <w:rPr>
          <w:rFonts w:hint="eastAsia" w:ascii="仿宋" w:hAnsi="仿宋" w:eastAsia="仿宋" w:cs="仿宋"/>
          <w:color w:val="auto"/>
          <w:sz w:val="32"/>
          <w:szCs w:val="32"/>
        </w:rPr>
        <w:t>。</w:t>
      </w:r>
    </w:p>
    <w:p>
      <w:pPr>
        <w:spacing w:before="78" w:beforeLines="25" w:after="78" w:afterLines="25"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2.宁夏电网：负荷5000兆瓦以上20000兆瓦以下的减供负荷6%以上12%以下</w:t>
      </w:r>
      <w:r>
        <w:rPr>
          <w:rFonts w:hint="eastAsia" w:ascii="仿宋" w:hAnsi="仿宋" w:eastAsia="仿宋" w:cs="仿宋"/>
          <w:color w:val="auto"/>
          <w:sz w:val="32"/>
          <w:szCs w:val="32"/>
          <w:lang w:eastAsia="zh-CN"/>
        </w:rPr>
        <w:t>，停电范围包括吴忠电网的</w:t>
      </w:r>
      <w:r>
        <w:rPr>
          <w:rFonts w:hint="eastAsia" w:ascii="仿宋" w:hAnsi="仿宋" w:eastAsia="仿宋" w:cs="仿宋"/>
          <w:color w:val="auto"/>
          <w:sz w:val="32"/>
          <w:szCs w:val="32"/>
        </w:rPr>
        <w:t>。</w:t>
      </w:r>
    </w:p>
    <w:p>
      <w:pPr>
        <w:spacing w:before="78" w:beforeLines="25" w:after="78" w:afterLines="25"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吴忠</w:t>
      </w:r>
      <w:r>
        <w:rPr>
          <w:rFonts w:hint="eastAsia" w:ascii="仿宋" w:hAnsi="仿宋" w:eastAsia="仿宋" w:cs="仿宋"/>
          <w:color w:val="auto"/>
          <w:sz w:val="32"/>
          <w:szCs w:val="32"/>
        </w:rPr>
        <w:t>电网：减供负荷20%以上40%以下，或30%以上50%以下供电用户停电。</w:t>
      </w:r>
    </w:p>
    <w:p>
      <w:pPr>
        <w:spacing w:before="78" w:beforeLines="25" w:after="78" w:afterLines="25"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县级市电网：负荷150兆瓦以上的减供负荷40%以上60%以下，或50%以上70%以下供电用户停电；负荷150兆瓦以下的减供负荷40%以上，或50%以上供电用户停电。</w:t>
      </w:r>
    </w:p>
    <w:p>
      <w:pPr>
        <w:spacing w:before="78" w:beforeLines="25" w:after="78" w:afterLines="25"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上述分级标准有关数量的表述中，“以上”含本数，“以下”不含本数。</w:t>
      </w:r>
    </w:p>
    <w:p>
      <w:pPr>
        <w:spacing w:before="78" w:beforeLines="25" w:after="78" w:afterLines="25" w:line="580" w:lineRule="exact"/>
        <w:ind w:firstLine="640" w:firstLineChars="200"/>
        <w:rPr>
          <w:rFonts w:hint="eastAsia" w:ascii="仿宋" w:hAnsi="仿宋" w:eastAsia="仿宋" w:cs="仿宋"/>
          <w:color w:val="auto"/>
          <w:sz w:val="32"/>
          <w:szCs w:val="32"/>
        </w:rPr>
        <w:sectPr>
          <w:footerReference r:id="rId4" w:type="default"/>
          <w:pgSz w:w="11900" w:h="16840"/>
          <w:pgMar w:top="1580" w:right="1300" w:bottom="1640" w:left="1300" w:header="0" w:footer="1444" w:gutter="0"/>
          <w:pgNumType w:fmt="decimal"/>
          <w:cols w:space="720" w:num="1"/>
        </w:sectPr>
      </w:pPr>
    </w:p>
    <w:p>
      <w:pPr>
        <w:autoSpaceDE w:val="0"/>
        <w:autoSpaceDN w:val="0"/>
        <w:adjustRightInd w:val="0"/>
        <w:spacing w:line="580" w:lineRule="exact"/>
        <w:ind w:firstLine="642" w:firstLineChars="200"/>
        <w:outlineLvl w:val="1"/>
        <w:rPr>
          <w:rFonts w:hint="eastAsia" w:ascii="仿宋" w:hAnsi="仿宋" w:eastAsia="仿宋" w:cs="仿宋"/>
          <w:b/>
          <w:color w:val="auto"/>
          <w:kern w:val="44"/>
          <w:sz w:val="32"/>
          <w:szCs w:val="32"/>
          <w:lang w:val="en-US"/>
        </w:rPr>
      </w:pPr>
      <w:bookmarkStart w:id="46" w:name="_Toc29645"/>
      <w:r>
        <w:rPr>
          <w:rFonts w:hint="eastAsia" w:ascii="仿宋" w:hAnsi="仿宋" w:eastAsia="仿宋" w:cs="仿宋"/>
          <w:b/>
          <w:color w:val="auto"/>
          <w:kern w:val="44"/>
          <w:sz w:val="32"/>
          <w:szCs w:val="32"/>
          <w:lang w:val="en-US"/>
        </w:rPr>
        <w:t>附件</w:t>
      </w:r>
      <w:r>
        <w:rPr>
          <w:rFonts w:hint="eastAsia" w:ascii="仿宋" w:hAnsi="仿宋" w:eastAsia="仿宋" w:cs="仿宋"/>
          <w:b/>
          <w:color w:val="auto"/>
          <w:kern w:val="44"/>
          <w:sz w:val="32"/>
          <w:szCs w:val="32"/>
          <w:lang w:val="en-US" w:eastAsia="zh-CN"/>
        </w:rPr>
        <w:t>2：吴忠市</w:t>
      </w:r>
      <w:r>
        <w:rPr>
          <w:rFonts w:hint="eastAsia" w:ascii="仿宋" w:hAnsi="仿宋" w:eastAsia="仿宋" w:cs="仿宋"/>
          <w:b/>
          <w:color w:val="auto"/>
          <w:kern w:val="44"/>
          <w:sz w:val="32"/>
          <w:szCs w:val="32"/>
          <w:lang w:val="en-US"/>
        </w:rPr>
        <w:t>大面积停电事件应急响应流程图</w:t>
      </w:r>
      <w:bookmarkEnd w:id="46"/>
    </w:p>
    <w:p>
      <w:pPr>
        <w:pStyle w:val="8"/>
        <w:keepNext w:val="0"/>
        <w:keepLines w:val="0"/>
        <w:widowControl/>
        <w:suppressLineNumbers w:val="0"/>
        <w:rPr>
          <w:rFonts w:hint="eastAsia" w:ascii="仿宋" w:hAnsi="仿宋" w:eastAsia="仿宋" w:cs="仿宋"/>
          <w:b w:val="0"/>
          <w:bCs w:val="0"/>
          <w:sz w:val="32"/>
          <w:szCs w:val="32"/>
        </w:rPr>
      </w:pPr>
      <w:r>
        <w:rPr>
          <w:rFonts w:hint="eastAsia" w:ascii="仿宋" w:hAnsi="仿宋" w:eastAsia="仿宋" w:cs="仿宋"/>
          <w:sz w:val="32"/>
          <w:szCs w:val="32"/>
        </w:rPr>
        <w:t>  </w:t>
      </w:r>
      <w:r>
        <w:rPr>
          <w:rFonts w:hint="eastAsia" w:ascii="仿宋" w:hAnsi="仿宋" w:eastAsia="仿宋" w:cs="仿宋"/>
          <w:b/>
          <w:bCs/>
          <w:sz w:val="32"/>
          <w:szCs w:val="32"/>
        </w:rPr>
        <w:t>  </w:t>
      </w:r>
      <w:r>
        <w:rPr>
          <w:rFonts w:hint="eastAsia" w:ascii="仿宋" w:hAnsi="仿宋" w:eastAsia="仿宋" w:cs="仿宋"/>
          <w:b w:val="0"/>
          <w:bCs w:val="0"/>
          <w:color w:val="000000"/>
          <w:sz w:val="32"/>
          <w:szCs w:val="32"/>
        </w:rPr>
        <w:t>(1)大面积停电事件Ⅰ级、Ⅱ级</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auto"/>
          <w:sz w:val="32"/>
          <w:szCs w:val="32"/>
          <w:lang w:val="en-US"/>
        </w:rPr>
        <w:t>Ⅲ</w:t>
      </w:r>
      <w:r>
        <w:rPr>
          <w:rFonts w:hint="eastAsia" w:ascii="仿宋" w:hAnsi="仿宋" w:eastAsia="仿宋" w:cs="仿宋"/>
          <w:b w:val="0"/>
          <w:bCs w:val="0"/>
          <w:color w:val="auto"/>
          <w:sz w:val="32"/>
          <w:szCs w:val="32"/>
        </w:rPr>
        <w:t>级</w:t>
      </w:r>
      <w:r>
        <w:rPr>
          <w:rFonts w:hint="eastAsia" w:ascii="仿宋" w:hAnsi="仿宋" w:eastAsia="仿宋" w:cs="仿宋"/>
          <w:b w:val="0"/>
          <w:bCs w:val="0"/>
          <w:color w:val="000000"/>
          <w:sz w:val="32"/>
          <w:szCs w:val="32"/>
        </w:rPr>
        <w:t>应急响应流程图</w:t>
      </w:r>
    </w:p>
    <w:p>
      <w:pPr>
        <w:keepNext w:val="0"/>
        <w:keepLines w:val="0"/>
        <w:pageBreakBefore w:val="0"/>
        <w:widowControl w:val="0"/>
        <w:kinsoku/>
        <w:wordWrap/>
        <w:overflowPunct/>
        <w:topLinePunct w:val="0"/>
        <w:autoSpaceDE/>
        <w:autoSpaceDN/>
        <w:bidi w:val="0"/>
        <w:adjustRightInd/>
        <w:snapToGrid/>
        <w:spacing w:before="78" w:beforeLines="25" w:after="78" w:afterLines="25" w:line="240" w:lineRule="auto"/>
        <w:ind w:firstLine="420" w:firstLineChars="200"/>
        <w:textAlignment w:val="auto"/>
        <w:outlineLvl w:val="9"/>
        <w:rPr>
          <w:rFonts w:eastAsia="方正仿宋简体"/>
          <w:b/>
          <w:sz w:val="36"/>
        </w:rPr>
      </w:pPr>
      <w:r>
        <w:rPr>
          <w:rFonts w:ascii="Times New Roman"/>
        </w:rPr>
        <w:object>
          <v:shape id="_x0000_i1025" o:spt="75" type="#_x0000_t75" style="height:589.6pt;width:467.95pt;" o:ole="t" filled="f" o:preferrelative="t" stroked="f" coordsize="21600,21600">
            <v:path/>
            <v:fill on="f" focussize="0,0"/>
            <v:stroke on="f"/>
            <v:imagedata r:id="rId7" o:title=""/>
            <o:lock v:ext="edit" aspectratio="t"/>
            <w10:wrap type="none"/>
            <w10:anchorlock/>
          </v:shape>
          <o:OLEObject Type="Embed" ProgID="Visio.Drawing.11" ShapeID="_x0000_i1025" DrawAspect="Content" ObjectID="_1468075725" r:id="rId6">
            <o:LockedField>false</o:LockedField>
          </o:OLEObject>
        </w:object>
      </w:r>
    </w:p>
    <w:p>
      <w:pPr>
        <w:pStyle w:val="8"/>
        <w:keepNext w:val="0"/>
        <w:keepLines w:val="0"/>
        <w:widowControl/>
        <w:suppressLineNumbers w:val="0"/>
        <w:rPr>
          <w:rFonts w:hint="eastAsia" w:ascii="仿宋" w:hAnsi="仿宋" w:eastAsia="仿宋" w:cs="仿宋"/>
          <w:b w:val="0"/>
          <w:bCs w:val="0"/>
          <w:sz w:val="32"/>
          <w:szCs w:val="32"/>
        </w:rPr>
      </w:pPr>
      <w:r>
        <w:rPr>
          <w:rFonts w:hint="eastAsia" w:ascii="仿宋" w:hAnsi="仿宋" w:eastAsia="仿宋" w:cs="仿宋"/>
          <w:b w:val="0"/>
          <w:bCs w:val="0"/>
          <w:sz w:val="32"/>
          <w:szCs w:val="32"/>
        </w:rPr>
        <w:t>  </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2</w:t>
      </w:r>
      <w:r>
        <w:rPr>
          <w:rFonts w:hint="eastAsia" w:ascii="仿宋" w:hAnsi="仿宋" w:eastAsia="仿宋" w:cs="仿宋"/>
          <w:b w:val="0"/>
          <w:bCs w:val="0"/>
          <w:color w:val="000000"/>
          <w:sz w:val="32"/>
          <w:szCs w:val="32"/>
        </w:rPr>
        <w:t>)大面积停电事件</w:t>
      </w:r>
      <w:r>
        <w:rPr>
          <w:rFonts w:hint="eastAsia" w:ascii="仿宋" w:hAnsi="仿宋" w:eastAsia="仿宋" w:cs="仿宋"/>
          <w:b w:val="0"/>
          <w:bCs w:val="0"/>
          <w:color w:val="auto"/>
          <w:sz w:val="32"/>
          <w:szCs w:val="32"/>
          <w:lang w:val="en-US"/>
        </w:rPr>
        <w:t>Ⅳ</w:t>
      </w:r>
      <w:r>
        <w:rPr>
          <w:rFonts w:hint="eastAsia" w:ascii="仿宋" w:hAnsi="仿宋" w:eastAsia="仿宋" w:cs="仿宋"/>
          <w:b w:val="0"/>
          <w:bCs w:val="0"/>
          <w:color w:val="auto"/>
          <w:sz w:val="32"/>
          <w:szCs w:val="32"/>
        </w:rPr>
        <w:t>级</w:t>
      </w:r>
      <w:r>
        <w:rPr>
          <w:rFonts w:hint="eastAsia" w:ascii="仿宋" w:hAnsi="仿宋" w:eastAsia="仿宋" w:cs="仿宋"/>
          <w:b w:val="0"/>
          <w:bCs w:val="0"/>
          <w:color w:val="000000"/>
          <w:sz w:val="32"/>
          <w:szCs w:val="32"/>
        </w:rPr>
        <w:t>应急响应流程图</w:t>
      </w:r>
    </w:p>
    <w:p>
      <w:pPr>
        <w:keepNext w:val="0"/>
        <w:keepLines w:val="0"/>
        <w:pageBreakBefore w:val="0"/>
        <w:widowControl w:val="0"/>
        <w:kinsoku/>
        <w:wordWrap/>
        <w:overflowPunct/>
        <w:topLinePunct w:val="0"/>
        <w:autoSpaceDE/>
        <w:autoSpaceDN/>
        <w:bidi w:val="0"/>
        <w:adjustRightInd/>
        <w:snapToGrid/>
        <w:spacing w:before="78" w:beforeLines="25" w:after="78" w:afterLines="25" w:line="240" w:lineRule="auto"/>
        <w:ind w:firstLine="420" w:firstLineChars="200"/>
        <w:textAlignment w:val="auto"/>
        <w:outlineLvl w:val="9"/>
        <w:rPr>
          <w:rFonts w:eastAsia="方正仿宋简体"/>
          <w:b/>
          <w:sz w:val="36"/>
          <w:lang w:val="en-US"/>
        </w:rPr>
        <w:sectPr>
          <w:pgSz w:w="11906" w:h="16838"/>
          <w:pgMar w:top="1440" w:right="1800" w:bottom="1440" w:left="1800" w:header="851" w:footer="992" w:gutter="0"/>
          <w:pgNumType w:fmt="decimal"/>
          <w:cols w:space="425" w:num="1"/>
          <w:docGrid w:type="lines" w:linePitch="312" w:charSpace="0"/>
        </w:sectPr>
      </w:pPr>
      <w:r>
        <w:rPr>
          <w:rFonts w:ascii="Times New Roman"/>
        </w:rPr>
        <w:object>
          <v:shape id="_x0000_i1026" o:spt="75" type="#_x0000_t75" style="height:600.5pt;width:463.75pt;" o:ole="t" filled="f" o:preferrelative="t" stroked="f" coordsize="21600,21600">
            <v:path/>
            <v:fill on="f" focussize="0,0"/>
            <v:stroke on="f"/>
            <v:imagedata r:id="rId9" o:title=""/>
            <o:lock v:ext="edit" aspectratio="t"/>
            <w10:wrap type="none"/>
            <w10:anchorlock/>
          </v:shape>
          <o:OLEObject Type="Embed" ProgID="Visio.Drawing.11" ShapeID="_x0000_i1026" DrawAspect="Content" ObjectID="_1468075726" r:id="rId8">
            <o:LockedField>false</o:LockedField>
          </o:OLEObject>
        </w:object>
      </w:r>
    </w:p>
    <w:p>
      <w:pPr>
        <w:autoSpaceDE w:val="0"/>
        <w:autoSpaceDN w:val="0"/>
        <w:adjustRightInd w:val="0"/>
        <w:spacing w:line="580" w:lineRule="exact"/>
        <w:ind w:firstLine="642" w:firstLineChars="200"/>
        <w:outlineLvl w:val="1"/>
        <w:rPr>
          <w:rFonts w:hint="eastAsia" w:ascii="仿宋_GB2312" w:hAnsi="Times New Roman" w:eastAsia="仿宋_GB2312" w:cs="Times New Roman"/>
          <w:b/>
          <w:color w:val="auto"/>
          <w:kern w:val="44"/>
          <w:sz w:val="32"/>
          <w:szCs w:val="22"/>
          <w:lang w:val="en-US" w:eastAsia="zh-CN"/>
        </w:rPr>
      </w:pPr>
      <w:bookmarkStart w:id="47" w:name="_Toc2418"/>
      <w:r>
        <w:rPr>
          <w:rFonts w:hint="eastAsia" w:ascii="仿宋_GB2312" w:hAnsi="Times New Roman" w:eastAsia="仿宋_GB2312" w:cs="Times New Roman"/>
          <w:b/>
          <w:color w:val="auto"/>
          <w:kern w:val="44"/>
          <w:sz w:val="32"/>
          <w:szCs w:val="22"/>
          <w:lang w:val="en-US" w:eastAsia="zh-CN"/>
        </w:rPr>
        <w:t>附件3：吴忠</w:t>
      </w:r>
      <w:r>
        <w:rPr>
          <w:rFonts w:hint="default" w:ascii="仿宋_GB2312" w:hAnsi="Times New Roman" w:eastAsia="仿宋_GB2312" w:cs="Times New Roman"/>
          <w:b/>
          <w:color w:val="auto"/>
          <w:kern w:val="44"/>
          <w:sz w:val="32"/>
          <w:szCs w:val="22"/>
          <w:lang w:val="en-US" w:eastAsia="zh-CN"/>
        </w:rPr>
        <w:t>市大面积停电事件应急指挥部</w:t>
      </w:r>
      <w:r>
        <w:rPr>
          <w:rFonts w:hint="eastAsia" w:ascii="仿宋_GB2312" w:hAnsi="Times New Roman" w:eastAsia="仿宋_GB2312" w:cs="Times New Roman"/>
          <w:b/>
          <w:color w:val="auto"/>
          <w:kern w:val="44"/>
          <w:sz w:val="32"/>
          <w:szCs w:val="22"/>
          <w:lang w:val="en-US" w:eastAsia="zh-CN"/>
        </w:rPr>
        <w:t>各成员单位</w:t>
      </w:r>
      <w:r>
        <w:rPr>
          <w:rFonts w:hint="default" w:ascii="仿宋_GB2312" w:hAnsi="Times New Roman" w:eastAsia="仿宋_GB2312" w:cs="Times New Roman"/>
          <w:b/>
          <w:color w:val="auto"/>
          <w:kern w:val="44"/>
          <w:sz w:val="32"/>
          <w:szCs w:val="22"/>
          <w:lang w:val="en-US" w:eastAsia="zh-CN"/>
        </w:rPr>
        <w:t>职责</w:t>
      </w:r>
      <w:bookmarkEnd w:id="47"/>
    </w:p>
    <w:p>
      <w:pPr>
        <w:pStyle w:val="8"/>
        <w:keepNext w:val="0"/>
        <w:keepLines w:val="0"/>
        <w:widowControl/>
        <w:suppressLineNumbers w:val="0"/>
        <w:ind w:left="0" w:firstLine="64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市委宣传部：</w:t>
      </w:r>
      <w:r>
        <w:rPr>
          <w:rFonts w:hint="eastAsia" w:ascii="仿宋" w:hAnsi="仿宋" w:eastAsia="仿宋" w:cs="仿宋"/>
          <w:b w:val="0"/>
          <w:bCs w:val="0"/>
          <w:color w:val="000000"/>
          <w:sz w:val="32"/>
          <w:szCs w:val="32"/>
        </w:rPr>
        <w:t xml:space="preserve"> 负责协调指导做好大面积停电事件应急处置信息发布工作和舆论引导工作。</w:t>
      </w:r>
      <w:r>
        <w:rPr>
          <w:rFonts w:hint="eastAsia" w:ascii="仿宋" w:hAnsi="仿宋" w:eastAsia="仿宋" w:cs="仿宋"/>
          <w:b w:val="0"/>
          <w:bCs w:val="0"/>
          <w:color w:val="auto"/>
          <w:sz w:val="32"/>
          <w:szCs w:val="32"/>
        </w:rPr>
        <w:t>收集分析国内外舆情和社会公众动态，加强媒体和互联网管理，正确引导舆论；指导有关部门、单位及时澄清不实信息，回应社会关切，确保信息发布的一致性和权威性。</w:t>
      </w:r>
    </w:p>
    <w:p>
      <w:pPr>
        <w:spacing w:before="78" w:beforeLines="25" w:after="78" w:afterLines="25" w:line="5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市委</w:t>
      </w:r>
      <w:r>
        <w:rPr>
          <w:rFonts w:hint="eastAsia" w:ascii="仿宋" w:hAnsi="仿宋" w:eastAsia="仿宋" w:cs="仿宋"/>
          <w:b w:val="0"/>
          <w:bCs w:val="0"/>
          <w:color w:val="000000"/>
          <w:sz w:val="32"/>
          <w:szCs w:val="32"/>
        </w:rPr>
        <w:t>网信办: 负责统筹协调相关部门做好大面积停电事件网络舆情监测, 做好处置引导, 稳妥做好调控管控工作。</w:t>
      </w:r>
    </w:p>
    <w:p>
      <w:pPr>
        <w:pStyle w:val="8"/>
        <w:keepNext w:val="0"/>
        <w:keepLines w:val="0"/>
        <w:widowControl/>
        <w:suppressLineNumbers w:val="0"/>
        <w:ind w:left="0" w:firstLine="0"/>
        <w:jc w:val="left"/>
        <w:rPr>
          <w:rFonts w:hint="eastAsia" w:ascii="仿宋" w:hAnsi="仿宋" w:eastAsia="仿宋" w:cs="仿宋"/>
          <w:b w:val="0"/>
          <w:bCs w:val="0"/>
          <w:color w:val="000000"/>
          <w:sz w:val="32"/>
          <w:szCs w:val="32"/>
        </w:rPr>
      </w:pPr>
      <w:r>
        <w:rPr>
          <w:rFonts w:hint="eastAsia" w:ascii="仿宋" w:hAnsi="仿宋" w:eastAsia="仿宋" w:cs="仿宋"/>
          <w:b w:val="0"/>
          <w:bCs w:val="0"/>
          <w:color w:val="auto"/>
          <w:sz w:val="32"/>
          <w:szCs w:val="32"/>
        </w:rPr>
        <w:t>市</w:t>
      </w:r>
      <w:r>
        <w:rPr>
          <w:rFonts w:hint="eastAsia" w:ascii="仿宋" w:hAnsi="仿宋" w:eastAsia="仿宋" w:cs="仿宋"/>
          <w:b w:val="0"/>
          <w:bCs w:val="0"/>
          <w:color w:val="000000"/>
          <w:sz w:val="32"/>
          <w:szCs w:val="32"/>
          <w:lang w:eastAsia="zh-CN"/>
        </w:rPr>
        <w:t>发改</w:t>
      </w:r>
      <w:r>
        <w:rPr>
          <w:rFonts w:hint="eastAsia" w:ascii="仿宋" w:hAnsi="仿宋" w:eastAsia="仿宋" w:cs="仿宋"/>
          <w:b w:val="0"/>
          <w:bCs w:val="0"/>
          <w:color w:val="000000"/>
          <w:sz w:val="32"/>
          <w:szCs w:val="32"/>
        </w:rPr>
        <w:t>委：</w:t>
      </w:r>
      <w:r>
        <w:rPr>
          <w:rFonts w:hint="eastAsia" w:ascii="仿宋" w:hAnsi="仿宋" w:eastAsia="仿宋" w:cs="仿宋"/>
          <w:b w:val="0"/>
          <w:bCs w:val="0"/>
          <w:color w:val="000000"/>
          <w:sz w:val="32"/>
          <w:szCs w:val="32"/>
          <w:lang w:val="en-US" w:eastAsia="zh-CN"/>
        </w:rPr>
        <w:t>组织协调相关部门和电力企业开展大面</w:t>
      </w:r>
      <w:r>
        <w:rPr>
          <w:rFonts w:hint="eastAsia" w:ascii="仿宋" w:hAnsi="仿宋" w:eastAsia="仿宋" w:cs="仿宋"/>
          <w:b w:val="0"/>
          <w:bCs w:val="0"/>
          <w:color w:val="000000"/>
          <w:sz w:val="32"/>
          <w:szCs w:val="32"/>
        </w:rPr>
        <w:t>积停电</w:t>
      </w:r>
      <w:r>
        <w:rPr>
          <w:rFonts w:hint="eastAsia" w:ascii="仿宋" w:hAnsi="仿宋" w:eastAsia="仿宋" w:cs="仿宋"/>
          <w:b w:val="0"/>
          <w:bCs w:val="0"/>
          <w:color w:val="000000"/>
          <w:sz w:val="32"/>
          <w:szCs w:val="32"/>
          <w:lang w:val="en-US" w:eastAsia="zh-CN"/>
        </w:rPr>
        <w:t>事</w:t>
      </w:r>
      <w:r>
        <w:rPr>
          <w:rFonts w:hint="eastAsia" w:ascii="仿宋" w:hAnsi="仿宋" w:eastAsia="仿宋" w:cs="仿宋"/>
          <w:b w:val="0"/>
          <w:bCs w:val="0"/>
          <w:color w:val="000000"/>
          <w:sz w:val="32"/>
          <w:szCs w:val="32"/>
        </w:rPr>
        <w:t>件应急处置与应急救援工作, 负责</w:t>
      </w:r>
      <w:r>
        <w:rPr>
          <w:rFonts w:hint="eastAsia" w:ascii="仿宋" w:hAnsi="仿宋" w:eastAsia="仿宋" w:cs="仿宋"/>
          <w:b w:val="0"/>
          <w:bCs w:val="0"/>
          <w:color w:val="000000"/>
          <w:sz w:val="32"/>
          <w:szCs w:val="32"/>
          <w:lang w:val="en-US" w:eastAsia="zh-CN"/>
        </w:rPr>
        <w:t>吴忠市</w:t>
      </w:r>
      <w:r>
        <w:rPr>
          <w:rFonts w:hint="eastAsia" w:ascii="仿宋" w:hAnsi="仿宋" w:eastAsia="仿宋" w:cs="仿宋"/>
          <w:b w:val="0"/>
          <w:bCs w:val="0"/>
          <w:color w:val="000000"/>
          <w:sz w:val="32"/>
          <w:szCs w:val="32"/>
        </w:rPr>
        <w:t>大面积停电应急指挥部日常工作, 发生一般停电事件后指导督促有关县(区)做好应对处置工作。负责紧急状态下的电力运行调度和电力需求侧管理；负责确认重要电力用户名单；负责初步判断大面积停电事件的响应等级，并向市政府提出相关处置措施建议；负责组织或配合上级开展大面积停电事件处置评估和事件调查工作；监督电力企业做好电力安全应急预案的编制、宣传培训及演练工作；负责全市电源规划布局</w:t>
      </w:r>
      <w:r>
        <w:rPr>
          <w:rFonts w:hint="eastAsia" w:ascii="仿宋" w:hAnsi="仿宋" w:eastAsia="仿宋" w:cs="仿宋"/>
          <w:b w:val="0"/>
          <w:bCs w:val="0"/>
          <w:color w:val="000000"/>
          <w:sz w:val="32"/>
          <w:szCs w:val="32"/>
          <w:lang w:eastAsia="zh-CN"/>
        </w:rPr>
        <w:t>。</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市</w:t>
      </w:r>
      <w:r>
        <w:rPr>
          <w:rFonts w:hint="eastAsia" w:ascii="仿宋" w:hAnsi="仿宋" w:eastAsia="仿宋" w:cs="仿宋"/>
          <w:b w:val="0"/>
          <w:bCs w:val="0"/>
          <w:color w:val="000000"/>
          <w:sz w:val="32"/>
          <w:szCs w:val="32"/>
          <w:lang w:eastAsia="zh-CN"/>
        </w:rPr>
        <w:t>工信局</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根据应急事件处理需要或物资储备</w:t>
      </w:r>
      <w:r>
        <w:rPr>
          <w:rFonts w:hint="eastAsia" w:ascii="仿宋" w:hAnsi="仿宋" w:eastAsia="仿宋" w:cs="仿宋"/>
          <w:b w:val="0"/>
          <w:bCs w:val="0"/>
          <w:color w:val="000000"/>
          <w:sz w:val="32"/>
          <w:szCs w:val="32"/>
        </w:rPr>
        <w:t>牵头单位需求, 协调组织</w:t>
      </w:r>
      <w:r>
        <w:rPr>
          <w:rFonts w:hint="eastAsia" w:ascii="仿宋" w:hAnsi="仿宋" w:eastAsia="仿宋" w:cs="仿宋"/>
          <w:b w:val="0"/>
          <w:bCs w:val="0"/>
          <w:color w:val="000000"/>
          <w:sz w:val="32"/>
          <w:szCs w:val="32"/>
          <w:lang w:val="en-US" w:eastAsia="zh-CN"/>
        </w:rPr>
        <w:t>吴忠市</w:t>
      </w:r>
      <w:r>
        <w:rPr>
          <w:rFonts w:hint="eastAsia" w:ascii="仿宋" w:hAnsi="仿宋" w:eastAsia="仿宋" w:cs="仿宋"/>
          <w:b w:val="0"/>
          <w:bCs w:val="0"/>
          <w:color w:val="000000"/>
          <w:sz w:val="32"/>
          <w:szCs w:val="32"/>
        </w:rPr>
        <w:t>相关工业企业进行有关应急工业产品准备、生产、供给</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加强对重</w:t>
      </w:r>
      <w:r>
        <w:rPr>
          <w:rFonts w:hint="eastAsia" w:ascii="仿宋" w:hAnsi="仿宋" w:eastAsia="仿宋" w:cs="仿宋"/>
          <w:b w:val="0"/>
          <w:bCs w:val="0"/>
          <w:color w:val="000000"/>
          <w:sz w:val="32"/>
          <w:szCs w:val="32"/>
          <w:lang w:eastAsia="zh-CN"/>
        </w:rPr>
        <w:t>点企业</w:t>
      </w:r>
      <w:r>
        <w:rPr>
          <w:rFonts w:hint="eastAsia" w:ascii="仿宋" w:hAnsi="仿宋" w:eastAsia="仿宋" w:cs="仿宋"/>
          <w:b w:val="0"/>
          <w:bCs w:val="0"/>
          <w:color w:val="000000"/>
          <w:sz w:val="32"/>
          <w:szCs w:val="32"/>
        </w:rPr>
        <w:t>电源配置情况的监督管理，并与相关部门共同做好重要电力用户自备电源配置管理工作</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指导企业开展</w:t>
      </w:r>
      <w:r>
        <w:rPr>
          <w:rFonts w:hint="eastAsia" w:ascii="仿宋" w:hAnsi="仿宋" w:eastAsia="仿宋" w:cs="仿宋"/>
          <w:b w:val="0"/>
          <w:bCs w:val="0"/>
          <w:color w:val="000000"/>
          <w:sz w:val="32"/>
          <w:szCs w:val="32"/>
          <w:lang w:eastAsia="zh-CN"/>
        </w:rPr>
        <w:t>停电</w:t>
      </w:r>
      <w:r>
        <w:rPr>
          <w:rFonts w:hint="eastAsia" w:ascii="仿宋" w:hAnsi="仿宋" w:eastAsia="仿宋" w:cs="仿宋"/>
          <w:b w:val="0"/>
          <w:bCs w:val="0"/>
          <w:color w:val="000000"/>
          <w:sz w:val="32"/>
          <w:szCs w:val="32"/>
        </w:rPr>
        <w:t>应急处置。</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rPr>
        <w:t>市卫</w:t>
      </w:r>
      <w:r>
        <w:rPr>
          <w:rFonts w:hint="eastAsia" w:ascii="仿宋" w:hAnsi="仿宋" w:eastAsia="仿宋" w:cs="仿宋"/>
          <w:b w:val="0"/>
          <w:bCs w:val="0"/>
          <w:color w:val="000000"/>
          <w:sz w:val="32"/>
          <w:szCs w:val="32"/>
          <w:lang w:eastAsia="zh-CN"/>
        </w:rPr>
        <w:t>健</w:t>
      </w:r>
      <w:r>
        <w:rPr>
          <w:rFonts w:hint="eastAsia" w:ascii="仿宋" w:hAnsi="仿宋" w:eastAsia="仿宋" w:cs="仿宋"/>
          <w:b w:val="0"/>
          <w:bCs w:val="0"/>
          <w:color w:val="000000"/>
          <w:sz w:val="32"/>
          <w:szCs w:val="32"/>
        </w:rPr>
        <w:t>委：</w:t>
      </w:r>
      <w:r>
        <w:rPr>
          <w:rFonts w:hint="eastAsia" w:ascii="仿宋" w:hAnsi="仿宋" w:eastAsia="仿宋" w:cs="仿宋"/>
          <w:b w:val="0"/>
          <w:bCs w:val="0"/>
          <w:color w:val="000000"/>
          <w:sz w:val="32"/>
          <w:szCs w:val="32"/>
          <w:lang w:val="en-US" w:eastAsia="zh-CN"/>
        </w:rPr>
        <w:t>负责指导当地开展紧急医学救援工作,</w:t>
      </w:r>
      <w:r>
        <w:rPr>
          <w:rFonts w:hint="eastAsia" w:ascii="仿宋" w:hAnsi="仿宋" w:eastAsia="仿宋" w:cs="仿宋"/>
          <w:b w:val="0"/>
          <w:bCs w:val="0"/>
          <w:color w:val="000000"/>
          <w:sz w:val="32"/>
          <w:szCs w:val="32"/>
        </w:rPr>
        <w:t>组织医疗卫生技术力量, 开展伤病员医疗救治; 加强传染病防控工作, 防止传染病情的发展和蔓延</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协调停电地区医院自备电源应急启动并采取临时应急措施</w:t>
      </w:r>
      <w:r>
        <w:rPr>
          <w:rFonts w:hint="eastAsia" w:ascii="仿宋" w:hAnsi="仿宋" w:eastAsia="仿宋" w:cs="仿宋"/>
          <w:b w:val="0"/>
          <w:bCs w:val="0"/>
          <w:color w:val="000000"/>
          <w:sz w:val="32"/>
          <w:szCs w:val="32"/>
          <w:lang w:eastAsia="zh-CN"/>
        </w:rPr>
        <w:t>。</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市公安局：</w:t>
      </w:r>
      <w:r>
        <w:rPr>
          <w:rFonts w:hint="eastAsia" w:ascii="仿宋" w:hAnsi="仿宋" w:eastAsia="仿宋" w:cs="仿宋"/>
          <w:b w:val="0"/>
          <w:bCs w:val="0"/>
          <w:color w:val="000000"/>
          <w:sz w:val="32"/>
          <w:szCs w:val="32"/>
          <w:lang w:val="en-US" w:eastAsia="zh-CN"/>
        </w:rPr>
        <w:t>负责协调做好事故灾难的救授工作, 妥善处</w:t>
      </w:r>
      <w:r>
        <w:rPr>
          <w:rFonts w:hint="eastAsia" w:ascii="仿宋" w:hAnsi="仿宋" w:eastAsia="仿宋" w:cs="仿宋"/>
          <w:b w:val="0"/>
          <w:bCs w:val="0"/>
          <w:color w:val="000000"/>
          <w:sz w:val="32"/>
          <w:szCs w:val="32"/>
        </w:rPr>
        <w:t>理由大面积停电引发的案(事)件, 加强日常巡逻防范, 维护社会面治安秩序, 及时组织疏导交通, 必要时实施交通管制, 保障应急救援通道畅通。</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市民政局：对符合条件的受事件影响群众实施基本生活救助, 配合做好伤亡人员的善后处理工作。</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市财政局：</w:t>
      </w:r>
      <w:r>
        <w:rPr>
          <w:rFonts w:hint="eastAsia" w:ascii="仿宋" w:hAnsi="仿宋" w:eastAsia="仿宋" w:cs="仿宋"/>
          <w:b w:val="0"/>
          <w:bCs w:val="0"/>
          <w:color w:val="000000"/>
          <w:sz w:val="32"/>
          <w:szCs w:val="32"/>
          <w:lang w:val="en-US" w:eastAsia="zh-CN"/>
        </w:rPr>
        <w:t>按照有关规定, 对大面积停电事件应急处置</w:t>
      </w:r>
      <w:r>
        <w:rPr>
          <w:rFonts w:hint="eastAsia" w:ascii="仿宋" w:hAnsi="仿宋" w:eastAsia="仿宋" w:cs="仿宋"/>
          <w:b w:val="0"/>
          <w:bCs w:val="0"/>
          <w:color w:val="000000"/>
          <w:sz w:val="32"/>
          <w:szCs w:val="32"/>
        </w:rPr>
        <w:t>工作提供必要的资金保障。</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市</w:t>
      </w:r>
      <w:r>
        <w:rPr>
          <w:rFonts w:hint="eastAsia" w:ascii="仿宋" w:hAnsi="仿宋" w:eastAsia="仿宋" w:cs="仿宋"/>
          <w:b w:val="0"/>
          <w:bCs w:val="0"/>
          <w:color w:val="000000"/>
          <w:sz w:val="32"/>
          <w:szCs w:val="32"/>
          <w:lang w:eastAsia="zh-CN"/>
        </w:rPr>
        <w:t>自然</w:t>
      </w:r>
      <w:r>
        <w:rPr>
          <w:rFonts w:hint="eastAsia" w:ascii="仿宋" w:hAnsi="仿宋" w:eastAsia="仿宋" w:cs="仿宋"/>
          <w:b w:val="0"/>
          <w:bCs w:val="0"/>
          <w:color w:val="000000"/>
          <w:sz w:val="32"/>
          <w:szCs w:val="32"/>
        </w:rPr>
        <w:t>资源局：</w:t>
      </w:r>
      <w:r>
        <w:rPr>
          <w:rFonts w:hint="eastAsia" w:ascii="仿宋" w:hAnsi="仿宋" w:eastAsia="仿宋" w:cs="仿宋"/>
          <w:b w:val="0"/>
          <w:bCs w:val="0"/>
          <w:color w:val="000000"/>
          <w:sz w:val="32"/>
          <w:szCs w:val="32"/>
          <w:lang w:val="en-US" w:eastAsia="zh-CN"/>
        </w:rPr>
        <w:t>负责提供停电区域所需基础地理信息数</w:t>
      </w:r>
      <w:r>
        <w:rPr>
          <w:rFonts w:hint="eastAsia" w:ascii="仿宋" w:hAnsi="仿宋" w:eastAsia="仿宋" w:cs="仿宋"/>
          <w:b w:val="0"/>
          <w:bCs w:val="0"/>
          <w:color w:val="000000"/>
          <w:sz w:val="32"/>
          <w:szCs w:val="32"/>
        </w:rPr>
        <w:t>据、各类影像数据和专题地图; 提供卫星导航定位基准服务; 提供测绘地理信息技术支撑, 提供各类遥感和无人机影像监测数据等服务。负责提供泥石流、滑坡等地质灾害气象风险预警信息。依法对电力线路保护区内种植危及电力设施安全植物的行为进行监管, 负责指导事故区域内树木处置工</w:t>
      </w:r>
      <w:r>
        <w:rPr>
          <w:rFonts w:hint="eastAsia" w:ascii="仿宋" w:hAnsi="仿宋" w:eastAsia="仿宋" w:cs="仿宋"/>
          <w:b w:val="0"/>
          <w:bCs w:val="0"/>
          <w:color w:val="000000"/>
          <w:sz w:val="32"/>
          <w:szCs w:val="32"/>
          <w:lang w:val="en-US" w:eastAsia="zh-CN"/>
        </w:rPr>
        <w:t>作</w:t>
      </w:r>
      <w:r>
        <w:rPr>
          <w:rFonts w:hint="eastAsia" w:ascii="仿宋" w:hAnsi="仿宋" w:eastAsia="仿宋" w:cs="仿宋"/>
          <w:b w:val="0"/>
          <w:bCs w:val="0"/>
          <w:color w:val="000000"/>
          <w:sz w:val="32"/>
          <w:szCs w:val="32"/>
        </w:rPr>
        <w:t>。</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rPr>
        <w:t>市</w:t>
      </w:r>
      <w:r>
        <w:rPr>
          <w:rFonts w:hint="eastAsia" w:ascii="仿宋" w:hAnsi="仿宋" w:eastAsia="仿宋" w:cs="仿宋"/>
          <w:b w:val="0"/>
          <w:bCs w:val="0"/>
          <w:color w:val="000000"/>
          <w:sz w:val="32"/>
          <w:szCs w:val="32"/>
          <w:lang w:eastAsia="zh-CN"/>
        </w:rPr>
        <w:t>住建</w:t>
      </w:r>
      <w:r>
        <w:rPr>
          <w:rFonts w:hint="eastAsia" w:ascii="仿宋" w:hAnsi="仿宋" w:eastAsia="仿宋" w:cs="仿宋"/>
          <w:b w:val="0"/>
          <w:bCs w:val="0"/>
          <w:color w:val="000000"/>
          <w:sz w:val="32"/>
          <w:szCs w:val="32"/>
        </w:rPr>
        <w:t>局：</w:t>
      </w:r>
      <w:r>
        <w:rPr>
          <w:rFonts w:hint="eastAsia" w:ascii="仿宋" w:hAnsi="仿宋" w:eastAsia="仿宋" w:cs="仿宋"/>
          <w:b w:val="0"/>
          <w:bCs w:val="0"/>
          <w:color w:val="000000"/>
          <w:sz w:val="32"/>
          <w:szCs w:val="32"/>
          <w:lang w:val="en-US" w:eastAsia="zh-CN"/>
        </w:rPr>
        <w:t>负责指导涉事城市抢修和恢复城市</w:t>
      </w:r>
      <w:r>
        <w:rPr>
          <w:rFonts w:hint="eastAsia" w:ascii="仿宋" w:hAnsi="仿宋" w:eastAsia="仿宋" w:cs="仿宋"/>
          <w:b w:val="0"/>
          <w:bCs w:val="0"/>
          <w:color w:val="000000"/>
          <w:sz w:val="32"/>
          <w:szCs w:val="32"/>
        </w:rPr>
        <w:t>供水、供气、供热、市政照明、排水等公共设施运, 保障居民基本生活需要</w:t>
      </w:r>
      <w:r>
        <w:rPr>
          <w:rFonts w:hint="eastAsia" w:ascii="仿宋" w:hAnsi="仿宋" w:eastAsia="仿宋" w:cs="仿宋"/>
          <w:b w:val="0"/>
          <w:bCs w:val="0"/>
          <w:color w:val="000000"/>
          <w:sz w:val="32"/>
          <w:szCs w:val="32"/>
          <w:lang w:eastAsia="zh-CN"/>
        </w:rPr>
        <w:t>。</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市交通运输</w:t>
      </w:r>
      <w:r>
        <w:rPr>
          <w:rFonts w:hint="eastAsia" w:ascii="仿宋" w:hAnsi="仿宋" w:eastAsia="仿宋" w:cs="仿宋"/>
          <w:b w:val="0"/>
          <w:bCs w:val="0"/>
          <w:color w:val="000000"/>
          <w:sz w:val="32"/>
          <w:szCs w:val="32"/>
          <w:lang w:eastAsia="zh-CN"/>
        </w:rPr>
        <w:t>局</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负责组织协调应急救援客货运输车辆,</w:t>
      </w:r>
      <w:r>
        <w:rPr>
          <w:rFonts w:hint="eastAsia" w:ascii="仿宋" w:hAnsi="仿宋" w:eastAsia="仿宋" w:cs="仿宋"/>
          <w:b w:val="0"/>
          <w:bCs w:val="0"/>
          <w:color w:val="000000"/>
          <w:sz w:val="32"/>
          <w:szCs w:val="32"/>
        </w:rPr>
        <w:t>保障抢险救援物资和抢险救灾人员运输及公路运输通道畅通。</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市水</w:t>
      </w:r>
      <w:r>
        <w:rPr>
          <w:rFonts w:hint="eastAsia" w:ascii="仿宋" w:hAnsi="仿宋" w:eastAsia="仿宋" w:cs="仿宋"/>
          <w:b w:val="0"/>
          <w:bCs w:val="0"/>
          <w:color w:val="000000"/>
          <w:sz w:val="32"/>
          <w:szCs w:val="32"/>
          <w:lang w:eastAsia="zh-CN"/>
        </w:rPr>
        <w:t>务</w:t>
      </w:r>
      <w:r>
        <w:rPr>
          <w:rFonts w:hint="eastAsia" w:ascii="仿宋" w:hAnsi="仿宋" w:eastAsia="仿宋" w:cs="仿宋"/>
          <w:b w:val="0"/>
          <w:bCs w:val="0"/>
          <w:color w:val="000000"/>
          <w:sz w:val="32"/>
          <w:szCs w:val="32"/>
        </w:rPr>
        <w:t>局：</w:t>
      </w:r>
      <w:r>
        <w:rPr>
          <w:rFonts w:hint="eastAsia" w:ascii="仿宋" w:hAnsi="仿宋" w:eastAsia="仿宋" w:cs="仿宋"/>
          <w:b w:val="0"/>
          <w:bCs w:val="0"/>
          <w:color w:val="000000"/>
          <w:sz w:val="32"/>
          <w:szCs w:val="32"/>
          <w:lang w:val="en-US" w:eastAsia="zh-CN"/>
        </w:rPr>
        <w:t>负责指导水情、旱情的监测预警工作, 提供</w:t>
      </w:r>
      <w:r>
        <w:rPr>
          <w:rFonts w:hint="eastAsia" w:ascii="仿宋" w:hAnsi="仿宋" w:eastAsia="仿宋" w:cs="仿宋"/>
          <w:b w:val="0"/>
          <w:bCs w:val="0"/>
          <w:color w:val="000000"/>
          <w:sz w:val="32"/>
          <w:szCs w:val="32"/>
        </w:rPr>
        <w:t>相关信息。做好因</w:t>
      </w:r>
      <w:r>
        <w:rPr>
          <w:rFonts w:hint="eastAsia" w:ascii="仿宋" w:hAnsi="仿宋" w:eastAsia="仿宋" w:cs="仿宋"/>
          <w:b w:val="0"/>
          <w:bCs w:val="0"/>
          <w:color w:val="000000"/>
          <w:sz w:val="32"/>
          <w:szCs w:val="32"/>
          <w:lang w:eastAsia="zh-CN"/>
        </w:rPr>
        <w:t>暴</w:t>
      </w:r>
      <w:r>
        <w:rPr>
          <w:rFonts w:hint="eastAsia" w:ascii="仿宋" w:hAnsi="仿宋" w:eastAsia="仿宋" w:cs="仿宋"/>
          <w:b w:val="0"/>
          <w:bCs w:val="0"/>
          <w:color w:val="000000"/>
          <w:sz w:val="32"/>
          <w:szCs w:val="32"/>
        </w:rPr>
        <w:t>雨、洪水等自然灾害造成的大面积停电事件的相关处置工作，确保水利工程和人民生命、财产的安全。</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市</w:t>
      </w:r>
      <w:r>
        <w:rPr>
          <w:rFonts w:hint="eastAsia" w:ascii="仿宋" w:hAnsi="仿宋" w:eastAsia="仿宋" w:cs="仿宋"/>
          <w:b w:val="0"/>
          <w:bCs w:val="0"/>
          <w:color w:val="000000"/>
          <w:sz w:val="32"/>
          <w:szCs w:val="32"/>
        </w:rPr>
        <w:t>市场监管</w:t>
      </w:r>
      <w:r>
        <w:rPr>
          <w:rFonts w:hint="eastAsia" w:ascii="仿宋" w:hAnsi="仿宋" w:eastAsia="仿宋" w:cs="仿宋"/>
          <w:b w:val="0"/>
          <w:bCs w:val="0"/>
          <w:color w:val="000000"/>
          <w:sz w:val="32"/>
          <w:szCs w:val="32"/>
          <w:lang w:val="en-US" w:eastAsia="zh-CN"/>
        </w:rPr>
        <w:t>局</w:t>
      </w:r>
      <w:r>
        <w:rPr>
          <w:rFonts w:hint="eastAsia" w:ascii="仿宋" w:hAnsi="仿宋" w:eastAsia="仿宋" w:cs="仿宋"/>
          <w:b w:val="0"/>
          <w:bCs w:val="0"/>
          <w:color w:val="000000"/>
          <w:sz w:val="32"/>
          <w:szCs w:val="32"/>
        </w:rPr>
        <w:t>: 负责做好发生大面积停电事件后的市场秩序监督管理工作。</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市商务局：</w:t>
      </w:r>
      <w:r>
        <w:rPr>
          <w:rFonts w:hint="eastAsia" w:ascii="仿宋" w:hAnsi="仿宋" w:eastAsia="仿宋" w:cs="仿宋"/>
          <w:b w:val="0"/>
          <w:bCs w:val="0"/>
          <w:color w:val="000000"/>
          <w:sz w:val="32"/>
          <w:szCs w:val="32"/>
          <w:lang w:val="en-US" w:eastAsia="zh-CN"/>
        </w:rPr>
        <w:t>负责配合相关部门做好生活必须品的供应等</w:t>
      </w:r>
      <w:r>
        <w:rPr>
          <w:rFonts w:hint="eastAsia" w:ascii="仿宋" w:hAnsi="仿宋" w:eastAsia="仿宋" w:cs="仿宋"/>
          <w:b w:val="0"/>
          <w:bCs w:val="0"/>
          <w:color w:val="000000"/>
          <w:sz w:val="32"/>
          <w:szCs w:val="32"/>
        </w:rPr>
        <w:t>工作。</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市文广局：</w:t>
      </w:r>
      <w:r>
        <w:rPr>
          <w:rFonts w:hint="eastAsia" w:ascii="仿宋" w:hAnsi="仿宋" w:eastAsia="仿宋" w:cs="仿宋"/>
          <w:b w:val="0"/>
          <w:bCs w:val="0"/>
          <w:color w:val="000000"/>
          <w:sz w:val="32"/>
          <w:szCs w:val="32"/>
          <w:lang w:val="en-US" w:eastAsia="zh-CN"/>
        </w:rPr>
        <w:t>确保正确的舆论导向, 及时做好大面积停电</w:t>
      </w:r>
      <w:r>
        <w:rPr>
          <w:rFonts w:hint="eastAsia" w:ascii="仿宋" w:hAnsi="仿宋" w:eastAsia="仿宋" w:cs="仿宋"/>
          <w:b w:val="0"/>
          <w:bCs w:val="0"/>
          <w:color w:val="000000"/>
          <w:sz w:val="32"/>
          <w:szCs w:val="32"/>
        </w:rPr>
        <w:t>事件的宣传管理工作, 使全区广播电视媒体在发生大面积停电时,第一时间发布权威信息, 及时、全面、准确、公开、透明地反映事态发展过程。</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市</w:t>
      </w:r>
      <w:r>
        <w:rPr>
          <w:rFonts w:hint="eastAsia" w:ascii="仿宋" w:hAnsi="仿宋" w:eastAsia="仿宋" w:cs="仿宋"/>
          <w:b w:val="0"/>
          <w:bCs w:val="0"/>
          <w:color w:val="000000"/>
          <w:sz w:val="32"/>
          <w:szCs w:val="32"/>
          <w:lang w:eastAsia="zh-CN"/>
        </w:rPr>
        <w:t>应急</w:t>
      </w:r>
      <w:r>
        <w:rPr>
          <w:rFonts w:hint="eastAsia" w:ascii="仿宋" w:hAnsi="仿宋" w:eastAsia="仿宋" w:cs="仿宋"/>
          <w:b w:val="0"/>
          <w:bCs w:val="0"/>
          <w:color w:val="000000"/>
          <w:sz w:val="32"/>
          <w:szCs w:val="32"/>
        </w:rPr>
        <w:t>局：</w:t>
      </w:r>
      <w:r>
        <w:rPr>
          <w:rFonts w:hint="eastAsia" w:ascii="仿宋" w:hAnsi="仿宋" w:eastAsia="仿宋" w:cs="仿宋"/>
          <w:b w:val="0"/>
          <w:bCs w:val="0"/>
          <w:color w:val="000000"/>
          <w:sz w:val="32"/>
          <w:szCs w:val="32"/>
          <w:lang w:val="en-US" w:eastAsia="zh-CN"/>
        </w:rPr>
        <w:t>负责组织协调相关应急队伍参与电力企业</w:t>
      </w:r>
      <w:r>
        <w:rPr>
          <w:rFonts w:hint="eastAsia" w:ascii="仿宋" w:hAnsi="仿宋" w:eastAsia="仿宋" w:cs="仿宋"/>
          <w:b w:val="0"/>
          <w:bCs w:val="0"/>
          <w:color w:val="000000"/>
          <w:sz w:val="32"/>
          <w:szCs w:val="32"/>
        </w:rPr>
        <w:t>重、特大生产安全事故应急救援工作。</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消防救援支队：</w:t>
      </w:r>
      <w:r>
        <w:rPr>
          <w:rFonts w:hint="eastAsia" w:ascii="仿宋" w:hAnsi="仿宋" w:eastAsia="仿宋" w:cs="仿宋"/>
          <w:b w:val="0"/>
          <w:bCs w:val="0"/>
          <w:color w:val="000000"/>
          <w:sz w:val="32"/>
          <w:szCs w:val="32"/>
          <w:lang w:val="en-US" w:eastAsia="zh-CN"/>
        </w:rPr>
        <w:t>负责协助做好事故灾难救援工作, 严防</w:t>
      </w:r>
      <w:r>
        <w:rPr>
          <w:rFonts w:hint="eastAsia" w:ascii="仿宋" w:hAnsi="仿宋" w:eastAsia="仿宋" w:cs="仿宋"/>
          <w:b w:val="0"/>
          <w:bCs w:val="0"/>
          <w:color w:val="000000"/>
          <w:sz w:val="32"/>
          <w:szCs w:val="32"/>
        </w:rPr>
        <w:t>火灾发生, 减少火灾损失, 积极参加社会抢险救援。</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无线电管理委员会吴忠管理处</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负责组织、协调区内各基础电信运营企</w:t>
      </w:r>
      <w:r>
        <w:rPr>
          <w:rFonts w:hint="eastAsia" w:ascii="仿宋" w:hAnsi="仿宋" w:eastAsia="仿宋" w:cs="仿宋"/>
          <w:b w:val="0"/>
          <w:bCs w:val="0"/>
          <w:color w:val="000000"/>
          <w:sz w:val="32"/>
          <w:szCs w:val="32"/>
        </w:rPr>
        <w:t>业、铁塔公司, 做好应急救援过程中公用通信保障工作。</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市</w:t>
      </w:r>
      <w:r>
        <w:rPr>
          <w:rFonts w:hint="eastAsia" w:ascii="仿宋" w:hAnsi="仿宋" w:eastAsia="仿宋" w:cs="仿宋"/>
          <w:b w:val="0"/>
          <w:bCs w:val="0"/>
          <w:color w:val="000000"/>
          <w:sz w:val="32"/>
          <w:szCs w:val="32"/>
          <w:lang w:eastAsia="zh-CN"/>
        </w:rPr>
        <w:t>科技（</w:t>
      </w:r>
      <w:r>
        <w:rPr>
          <w:rFonts w:hint="eastAsia" w:ascii="仿宋" w:hAnsi="仿宋" w:eastAsia="仿宋" w:cs="仿宋"/>
          <w:b w:val="0"/>
          <w:bCs w:val="0"/>
          <w:color w:val="000000"/>
          <w:sz w:val="32"/>
          <w:szCs w:val="32"/>
        </w:rPr>
        <w:t>地震</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局：</w:t>
      </w:r>
      <w:r>
        <w:rPr>
          <w:rFonts w:hint="eastAsia" w:ascii="仿宋" w:hAnsi="仿宋" w:eastAsia="仿宋" w:cs="仿宋"/>
          <w:b w:val="0"/>
          <w:bCs w:val="0"/>
          <w:color w:val="000000"/>
          <w:sz w:val="32"/>
          <w:szCs w:val="32"/>
          <w:lang w:val="en-US" w:eastAsia="zh-CN"/>
        </w:rPr>
        <w:t>负责震情跟踪监视工作, 及时通报相关信息,</w:t>
      </w:r>
      <w:r>
        <w:rPr>
          <w:rFonts w:hint="eastAsia" w:ascii="仿宋" w:hAnsi="仿宋" w:eastAsia="仿宋" w:cs="仿宋"/>
          <w:b w:val="0"/>
          <w:bCs w:val="0"/>
          <w:color w:val="000000"/>
          <w:sz w:val="32"/>
          <w:szCs w:val="32"/>
        </w:rPr>
        <w:t>开展现场震害调查与评估工作。</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市气象局：</w:t>
      </w:r>
      <w:r>
        <w:rPr>
          <w:rFonts w:hint="eastAsia" w:ascii="仿宋" w:hAnsi="仿宋" w:eastAsia="仿宋" w:cs="仿宋"/>
          <w:b w:val="0"/>
          <w:bCs w:val="0"/>
          <w:color w:val="000000"/>
          <w:sz w:val="32"/>
          <w:szCs w:val="32"/>
          <w:lang w:val="en-US" w:eastAsia="zh-CN"/>
        </w:rPr>
        <w:t>负责天气监测、预报、预测, 及时提供气象信</w:t>
      </w:r>
      <w:r>
        <w:rPr>
          <w:rFonts w:hint="eastAsia" w:ascii="仿宋" w:hAnsi="仿宋" w:eastAsia="仿宋" w:cs="仿宋"/>
          <w:b w:val="0"/>
          <w:bCs w:val="0"/>
          <w:color w:val="000000"/>
          <w:sz w:val="32"/>
          <w:szCs w:val="32"/>
        </w:rPr>
        <w:t>息服务, 开展因气象灾害引发的事故灾害调查、评估及气象分析等工作。</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吴忠</w:t>
      </w:r>
      <w:r>
        <w:rPr>
          <w:rFonts w:hint="eastAsia" w:ascii="仿宋" w:hAnsi="仿宋" w:eastAsia="仿宋" w:cs="仿宋"/>
          <w:b w:val="0"/>
          <w:bCs w:val="0"/>
          <w:color w:val="000000"/>
          <w:sz w:val="32"/>
          <w:szCs w:val="32"/>
        </w:rPr>
        <w:t>武警支队：</w:t>
      </w:r>
      <w:r>
        <w:rPr>
          <w:rFonts w:hint="eastAsia" w:ascii="仿宋" w:hAnsi="仿宋" w:eastAsia="仿宋" w:cs="仿宋"/>
          <w:b w:val="0"/>
          <w:bCs w:val="0"/>
          <w:color w:val="000000"/>
          <w:sz w:val="32"/>
          <w:szCs w:val="32"/>
          <w:lang w:val="en-US" w:eastAsia="zh-CN"/>
        </w:rPr>
        <w:t>负责协助做好事故灾难救援工作, 加强治安</w:t>
      </w:r>
      <w:r>
        <w:rPr>
          <w:rFonts w:hint="eastAsia" w:ascii="仿宋" w:hAnsi="仿宋" w:eastAsia="仿宋" w:cs="仿宋"/>
          <w:b w:val="0"/>
          <w:bCs w:val="0"/>
          <w:color w:val="000000"/>
          <w:sz w:val="32"/>
          <w:szCs w:val="32"/>
        </w:rPr>
        <w:t>巡逻, 维护社会治安秩序。</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市</w:t>
      </w:r>
      <w:r>
        <w:rPr>
          <w:rFonts w:hint="eastAsia" w:ascii="仿宋" w:hAnsi="仿宋" w:eastAsia="仿宋" w:cs="仿宋"/>
          <w:b w:val="0"/>
          <w:bCs w:val="0"/>
          <w:color w:val="000000"/>
          <w:sz w:val="32"/>
          <w:szCs w:val="32"/>
        </w:rPr>
        <w:t>粮食和储备局: 负责救灾物资的收储、轮换和日常管理, 落实有关动用计划和指令, 按程序组织调出。</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兰州</w:t>
      </w:r>
      <w:r>
        <w:rPr>
          <w:rFonts w:hint="eastAsia" w:ascii="仿宋" w:hAnsi="仿宋" w:eastAsia="仿宋" w:cs="仿宋"/>
          <w:b w:val="0"/>
          <w:bCs w:val="0"/>
          <w:color w:val="000000"/>
          <w:sz w:val="32"/>
          <w:szCs w:val="32"/>
        </w:rPr>
        <w:t>铁路局</w:t>
      </w:r>
      <w:r>
        <w:rPr>
          <w:rFonts w:hint="eastAsia" w:ascii="仿宋" w:hAnsi="仿宋" w:eastAsia="仿宋" w:cs="仿宋"/>
          <w:b w:val="0"/>
          <w:bCs w:val="0"/>
          <w:color w:val="000000"/>
          <w:sz w:val="32"/>
          <w:szCs w:val="32"/>
          <w:lang w:eastAsia="zh-CN"/>
        </w:rPr>
        <w:t>吴忠</w:t>
      </w:r>
      <w:r>
        <w:rPr>
          <w:rFonts w:hint="eastAsia" w:ascii="仿宋" w:hAnsi="仿宋" w:eastAsia="仿宋" w:cs="仿宋"/>
          <w:b w:val="0"/>
          <w:bCs w:val="0"/>
          <w:color w:val="000000"/>
          <w:sz w:val="32"/>
          <w:szCs w:val="32"/>
        </w:rPr>
        <w:t>站：负责组织疏导</w:t>
      </w:r>
      <w:r>
        <w:rPr>
          <w:rFonts w:hint="eastAsia" w:ascii="仿宋" w:hAnsi="仿宋" w:eastAsia="仿宋" w:cs="仿宋"/>
          <w:b w:val="0"/>
          <w:bCs w:val="0"/>
          <w:color w:val="000000"/>
          <w:sz w:val="32"/>
          <w:szCs w:val="32"/>
          <w:lang w:eastAsia="zh-CN"/>
        </w:rPr>
        <w:t>高铁站、</w:t>
      </w:r>
      <w:r>
        <w:rPr>
          <w:rFonts w:hint="eastAsia" w:ascii="仿宋" w:hAnsi="仿宋" w:eastAsia="仿宋" w:cs="仿宋"/>
          <w:b w:val="0"/>
          <w:bCs w:val="0"/>
          <w:color w:val="000000"/>
          <w:sz w:val="32"/>
          <w:szCs w:val="32"/>
        </w:rPr>
        <w:t>火车站滞留旅客，保障应急处置所需的铁路交通运输保障工作。</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国网</w:t>
      </w:r>
      <w:r>
        <w:rPr>
          <w:rFonts w:hint="eastAsia" w:ascii="仿宋" w:hAnsi="仿宋" w:eastAsia="仿宋" w:cs="仿宋"/>
          <w:b w:val="0"/>
          <w:bCs w:val="0"/>
          <w:color w:val="000000"/>
          <w:sz w:val="32"/>
          <w:szCs w:val="32"/>
          <w:lang w:eastAsia="zh-CN"/>
        </w:rPr>
        <w:t>吴忠</w:t>
      </w:r>
      <w:r>
        <w:rPr>
          <w:rFonts w:hint="eastAsia" w:ascii="仿宋" w:hAnsi="仿宋" w:eastAsia="仿宋" w:cs="仿宋"/>
          <w:b w:val="0"/>
          <w:bCs w:val="0"/>
          <w:color w:val="000000"/>
          <w:sz w:val="32"/>
          <w:szCs w:val="32"/>
        </w:rPr>
        <w:t>供电公司</w:t>
      </w:r>
      <w:r>
        <w:rPr>
          <w:rFonts w:hint="eastAsia" w:ascii="仿宋" w:hAnsi="仿宋" w:eastAsia="仿宋" w:cs="仿宋"/>
          <w:b w:val="0"/>
          <w:bCs w:val="0"/>
          <w:color w:val="000000"/>
          <w:sz w:val="32"/>
          <w:szCs w:val="32"/>
          <w:lang w:eastAsia="zh-CN"/>
        </w:rPr>
        <w:t>、国网宁东供电公司</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组织研判、核实大面积停电预警信息,</w:t>
      </w:r>
      <w:r>
        <w:rPr>
          <w:rFonts w:hint="eastAsia" w:ascii="仿宋" w:hAnsi="仿宋" w:eastAsia="仿宋" w:cs="仿宋"/>
          <w:b w:val="0"/>
          <w:bCs w:val="0"/>
          <w:color w:val="000000"/>
          <w:sz w:val="32"/>
          <w:szCs w:val="32"/>
        </w:rPr>
        <w:t>并对事件性质和类别作出初步认定后向上级电力运行主管部门及时报告; 及时上报应急处理和供电恢复情况; 负责组织开展电力应急处置与应急救援工作; 承办</w:t>
      </w:r>
      <w:r>
        <w:rPr>
          <w:rFonts w:hint="eastAsia" w:ascii="仿宋" w:hAnsi="仿宋" w:eastAsia="仿宋" w:cs="仿宋"/>
          <w:b w:val="0"/>
          <w:bCs w:val="0"/>
          <w:color w:val="000000"/>
          <w:sz w:val="32"/>
          <w:szCs w:val="32"/>
          <w:lang w:val="en-US" w:eastAsia="zh-CN"/>
        </w:rPr>
        <w:t>吴忠市</w:t>
      </w:r>
      <w:r>
        <w:rPr>
          <w:rFonts w:hint="eastAsia" w:ascii="仿宋" w:hAnsi="仿宋" w:eastAsia="仿宋" w:cs="仿宋"/>
          <w:b w:val="0"/>
          <w:bCs w:val="0"/>
          <w:color w:val="000000"/>
          <w:sz w:val="32"/>
          <w:szCs w:val="32"/>
        </w:rPr>
        <w:t>大面积停电事件应急联合演练等工作。</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吴忠</w:t>
      </w:r>
      <w:r>
        <w:rPr>
          <w:rFonts w:hint="eastAsia" w:ascii="仿宋" w:hAnsi="仿宋" w:eastAsia="仿宋" w:cs="仿宋"/>
          <w:b w:val="0"/>
          <w:bCs w:val="0"/>
          <w:color w:val="000000"/>
          <w:sz w:val="32"/>
          <w:szCs w:val="32"/>
        </w:rPr>
        <w:t>地区各发电企业（集团）：负责本企业（集团）大面积停电事件应急处置工作，健全完善电厂电力突发事件应急预案，服从电网调度指挥，负责电厂运行管理及电力突发事件的报告和事故抢险工作，按照电网调度指令调整发电出力和运行方式。</w:t>
      </w:r>
    </w:p>
    <w:p>
      <w:pPr>
        <w:pStyle w:val="8"/>
        <w:keepNext w:val="0"/>
        <w:keepLines w:val="0"/>
        <w:widowControl/>
        <w:suppressLineNumbers w:val="0"/>
        <w:ind w:left="0" w:firstLine="640"/>
        <w:jc w:val="left"/>
        <w:rPr>
          <w:rFonts w:hint="eastAsia" w:ascii="仿宋" w:hAnsi="仿宋" w:eastAsia="仿宋" w:cs="仿宋"/>
          <w:b w:val="0"/>
          <w:bCs w:val="0"/>
          <w:color w:val="000000"/>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val="0"/>
          <w:bCs w:val="0"/>
          <w:color w:val="000000"/>
          <w:sz w:val="32"/>
          <w:szCs w:val="32"/>
        </w:rPr>
        <w:t>其他相关部门、单位做好职责范围内应急工作, 完成</w:t>
      </w:r>
      <w:r>
        <w:rPr>
          <w:rFonts w:hint="eastAsia" w:ascii="仿宋" w:hAnsi="仿宋" w:eastAsia="仿宋" w:cs="仿宋"/>
          <w:b w:val="0"/>
          <w:bCs w:val="0"/>
          <w:color w:val="000000"/>
          <w:sz w:val="32"/>
          <w:szCs w:val="32"/>
          <w:lang w:val="en-US" w:eastAsia="zh-CN"/>
        </w:rPr>
        <w:t>吴忠市</w:t>
      </w:r>
      <w:r>
        <w:rPr>
          <w:rFonts w:hint="eastAsia" w:ascii="仿宋" w:hAnsi="仿宋" w:eastAsia="仿宋" w:cs="仿宋"/>
          <w:b w:val="0"/>
          <w:bCs w:val="0"/>
          <w:color w:val="000000"/>
          <w:sz w:val="32"/>
          <w:szCs w:val="32"/>
        </w:rPr>
        <w:t>应急指挥部交办的各项工作任务。</w:t>
      </w:r>
    </w:p>
    <w:p>
      <w:pPr>
        <w:autoSpaceDE w:val="0"/>
        <w:autoSpaceDN w:val="0"/>
        <w:adjustRightInd w:val="0"/>
        <w:spacing w:line="580" w:lineRule="exact"/>
        <w:ind w:firstLine="642" w:firstLineChars="200"/>
        <w:outlineLvl w:val="1"/>
        <w:rPr>
          <w:rFonts w:hint="eastAsia" w:ascii="仿宋_GB2312" w:hAnsi="Times New Roman" w:eastAsia="仿宋_GB2312" w:cs="Times New Roman"/>
          <w:b/>
          <w:color w:val="auto"/>
          <w:kern w:val="44"/>
          <w:sz w:val="32"/>
          <w:szCs w:val="22"/>
          <w:lang w:val="en-US" w:eastAsia="zh-CN"/>
        </w:rPr>
      </w:pPr>
      <w:r>
        <w:rPr>
          <w:rFonts w:hint="eastAsia" w:ascii="仿宋_GB2312" w:hAnsi="Times New Roman" w:eastAsia="仿宋_GB2312" w:cs="Times New Roman"/>
          <w:b/>
          <w:color w:val="auto"/>
          <w:kern w:val="44"/>
          <w:sz w:val="32"/>
          <w:szCs w:val="22"/>
          <w:lang w:val="en-US" w:eastAsia="zh-CN"/>
        </w:rPr>
        <w:t>附件4：吴忠</w:t>
      </w:r>
      <w:r>
        <w:rPr>
          <w:rFonts w:hint="default" w:ascii="仿宋_GB2312" w:hAnsi="Times New Roman" w:eastAsia="仿宋_GB2312" w:cs="Times New Roman"/>
          <w:b/>
          <w:color w:val="auto"/>
          <w:kern w:val="44"/>
          <w:sz w:val="32"/>
          <w:szCs w:val="22"/>
          <w:lang w:val="en-US" w:eastAsia="zh-CN"/>
        </w:rPr>
        <w:t>市大面积停电事件应急指挥部</w:t>
      </w:r>
      <w:r>
        <w:rPr>
          <w:rFonts w:hint="eastAsia" w:ascii="仿宋_GB2312" w:hAnsi="Times New Roman" w:eastAsia="仿宋_GB2312" w:cs="Times New Roman"/>
          <w:b/>
          <w:color w:val="auto"/>
          <w:kern w:val="44"/>
          <w:sz w:val="32"/>
          <w:szCs w:val="22"/>
          <w:lang w:val="en-US" w:eastAsia="zh-CN"/>
        </w:rPr>
        <w:t>各成员单位信息联络员通讯录</w:t>
      </w:r>
    </w:p>
    <w:p>
      <w:pPr>
        <w:autoSpaceDE w:val="0"/>
        <w:autoSpaceDN w:val="0"/>
        <w:adjustRightInd w:val="0"/>
        <w:spacing w:line="580" w:lineRule="exact"/>
        <w:ind w:firstLine="642" w:firstLineChars="200"/>
        <w:outlineLvl w:val="1"/>
        <w:rPr>
          <w:rFonts w:hint="eastAsia" w:ascii="仿宋_GB2312" w:hAnsi="Times New Roman" w:eastAsia="仿宋_GB2312" w:cs="Times New Roman"/>
          <w:b/>
          <w:color w:val="auto"/>
          <w:kern w:val="44"/>
          <w:sz w:val="32"/>
          <w:szCs w:val="22"/>
          <w:lang w:val="en-US" w:eastAsia="zh-CN"/>
        </w:rPr>
      </w:pPr>
    </w:p>
    <w:tbl>
      <w:tblPr>
        <w:tblStyle w:val="10"/>
        <w:tblW w:w="9125"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2208"/>
        <w:gridCol w:w="1815"/>
        <w:gridCol w:w="1652"/>
        <w:gridCol w:w="1695"/>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08"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spacing w:before="100" w:beforeAutospacing="1" w:after="100" w:afterAutospacing="1"/>
              <w:jc w:val="center"/>
              <w:rPr>
                <w:rFonts w:hint="eastAsia" w:ascii="宋体" w:hAnsi="宋体"/>
                <w:b/>
                <w:kern w:val="0"/>
                <w:sz w:val="24"/>
                <w:lang w:eastAsia="zh-CN"/>
              </w:rPr>
            </w:pPr>
            <w:r>
              <w:rPr>
                <w:rFonts w:hint="eastAsia" w:ascii="宋体" w:hAnsi="宋体"/>
                <w:b/>
                <w:kern w:val="0"/>
                <w:sz w:val="24"/>
                <w:lang w:eastAsia="zh-CN"/>
              </w:rPr>
              <w:t>单位名称</w:t>
            </w:r>
          </w:p>
        </w:tc>
        <w:tc>
          <w:tcPr>
            <w:tcW w:w="181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spacing w:before="100" w:beforeAutospacing="1" w:after="100" w:afterAutospacing="1"/>
              <w:jc w:val="center"/>
              <w:rPr>
                <w:rFonts w:hint="eastAsia" w:ascii="宋体" w:hAnsi="宋体"/>
                <w:b/>
                <w:kern w:val="0"/>
                <w:sz w:val="24"/>
                <w:lang w:eastAsia="zh-CN"/>
              </w:rPr>
            </w:pPr>
            <w:r>
              <w:rPr>
                <w:rFonts w:hint="eastAsia" w:ascii="宋体" w:hAnsi="宋体"/>
                <w:b/>
                <w:kern w:val="0"/>
                <w:sz w:val="24"/>
                <w:lang w:eastAsia="zh-CN"/>
              </w:rPr>
              <w:t>值班固定电话</w:t>
            </w:r>
          </w:p>
        </w:tc>
        <w:tc>
          <w:tcPr>
            <w:tcW w:w="165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spacing w:before="100" w:beforeAutospacing="1" w:after="100" w:afterAutospacing="1"/>
              <w:jc w:val="center"/>
              <w:rPr>
                <w:rFonts w:hint="eastAsia" w:ascii="宋体" w:hAnsi="宋体"/>
                <w:b/>
                <w:kern w:val="0"/>
                <w:sz w:val="24"/>
                <w:lang w:eastAsia="zh-CN"/>
              </w:rPr>
            </w:pPr>
            <w:r>
              <w:rPr>
                <w:rFonts w:hint="eastAsia" w:ascii="宋体" w:hAnsi="宋体"/>
                <w:b/>
                <w:kern w:val="0"/>
                <w:sz w:val="24"/>
                <w:lang w:val="en-US" w:eastAsia="zh-CN"/>
              </w:rPr>
              <w:t>信息联络员姓名</w:t>
            </w:r>
          </w:p>
        </w:tc>
        <w:tc>
          <w:tcPr>
            <w:tcW w:w="169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spacing w:before="100" w:beforeAutospacing="1" w:after="100" w:afterAutospacing="1"/>
              <w:jc w:val="center"/>
              <w:rPr>
                <w:rFonts w:hint="eastAsia" w:ascii="宋体" w:hAnsi="宋体"/>
                <w:b/>
                <w:kern w:val="0"/>
                <w:sz w:val="24"/>
                <w:lang w:eastAsia="zh-CN"/>
              </w:rPr>
            </w:pPr>
            <w:r>
              <w:rPr>
                <w:rFonts w:hint="eastAsia" w:ascii="宋体" w:hAnsi="宋体"/>
                <w:b/>
                <w:kern w:val="0"/>
                <w:sz w:val="24"/>
                <w:lang w:val="en-US" w:eastAsia="zh-CN"/>
              </w:rPr>
              <w:t>信息联络员</w:t>
            </w:r>
            <w:r>
              <w:rPr>
                <w:rFonts w:hint="eastAsia" w:ascii="宋体" w:hAnsi="宋体"/>
                <w:b/>
                <w:kern w:val="0"/>
                <w:sz w:val="24"/>
                <w:lang w:eastAsia="zh-CN"/>
              </w:rPr>
              <w:t>手机</w:t>
            </w:r>
          </w:p>
        </w:tc>
        <w:tc>
          <w:tcPr>
            <w:tcW w:w="175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spacing w:before="100" w:beforeAutospacing="1" w:after="100" w:afterAutospacing="1"/>
              <w:jc w:val="center"/>
              <w:rPr>
                <w:rFonts w:hint="eastAsia" w:ascii="宋体" w:hAnsi="宋体"/>
                <w:b/>
                <w:kern w:val="0"/>
                <w:sz w:val="24"/>
                <w:lang w:eastAsia="zh-CN"/>
              </w:rPr>
            </w:pPr>
            <w:r>
              <w:rPr>
                <w:rFonts w:hint="eastAsia" w:ascii="宋体" w:hAnsi="宋体"/>
                <w:b/>
                <w:kern w:val="0"/>
                <w:sz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eastAsia="zh-CN"/>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eastAsia="zh-CN"/>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eastAsia="zh-CN"/>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eastAsia="zh-CN"/>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eastAsia="zh-CN"/>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eastAsia="zh-CN"/>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eastAsia="zh-CN"/>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eastAsia="zh-CN"/>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eastAsia="zh-CN"/>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eastAsia="zh-CN"/>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kern w:val="0"/>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val="en-US" w:eastAsia="zh-CN"/>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eastAsia="zh-CN"/>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eastAsia="zh-CN"/>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val="en-US" w:eastAsia="zh-CN"/>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val="en-US" w:eastAsia="zh-CN"/>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lang w:eastAsia="zh-CN"/>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lang w:eastAsia="zh-CN"/>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18"/>
                <w:szCs w:val="24"/>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lang w:eastAsia="zh-CN"/>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lang w:eastAsia="zh-CN"/>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lang w:eastAsia="zh-CN"/>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eastAsia="zh-CN"/>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val="en-US" w:eastAsia="zh-CN"/>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eastAsia="zh-CN"/>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eastAsia="zh-CN"/>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eastAsia="zh-CN"/>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eastAsia="zh-CN"/>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eastAsia="zh-CN"/>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lang w:eastAsia="zh-CN"/>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lang w:eastAsia="zh-CN"/>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sz w:val="24"/>
                <w:szCs w:val="24"/>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ascii="宋体" w:hAnsi="宋体"/>
                <w:sz w:val="24"/>
                <w:szCs w:val="24"/>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2208"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kern w:val="0"/>
                <w:sz w:val="24"/>
                <w:lang w:eastAsia="zh-CN"/>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kern w:val="0"/>
                <w:sz w:val="24"/>
                <w:lang w:eastAsia="zh-CN"/>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pStyle w:val="6"/>
              <w:spacing w:after="0"/>
              <w:ind w:left="0" w:leftChars="0"/>
              <w:jc w:val="center"/>
              <w:textAlignment w:val="baseline"/>
              <w:rPr>
                <w:rFonts w:hint="eastAsia" w:ascii="宋体" w:hAnsi="宋体" w:eastAsia="宋体"/>
                <w:sz w:val="24"/>
                <w:szCs w:val="24"/>
                <w:lang w:eastAsia="zh-CN"/>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ascii="宋体" w:hAnsi="宋体" w:eastAsia="宋体"/>
                <w:sz w:val="24"/>
                <w:lang w:val="en-US" w:eastAsia="zh-CN"/>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sz w:val="24"/>
                <w:lang w:val="en-US" w:eastAsia="zh-CN"/>
              </w:rPr>
            </w:pPr>
          </w:p>
        </w:tc>
      </w:tr>
    </w:tbl>
    <w:p>
      <w:pPr>
        <w:autoSpaceDE w:val="0"/>
        <w:autoSpaceDN w:val="0"/>
        <w:adjustRightInd w:val="0"/>
        <w:spacing w:line="580" w:lineRule="exact"/>
        <w:ind w:firstLine="642" w:firstLineChars="200"/>
        <w:outlineLvl w:val="1"/>
        <w:rPr>
          <w:rFonts w:hint="eastAsia" w:ascii="仿宋_GB2312" w:hAnsi="Times New Roman" w:eastAsia="仿宋_GB2312" w:cs="Times New Roman"/>
          <w:b/>
          <w:color w:val="auto"/>
          <w:kern w:val="44"/>
          <w:sz w:val="32"/>
          <w:szCs w:val="22"/>
          <w:lang w:val="en-US" w:eastAsia="zh-CN"/>
        </w:rPr>
        <w:sectPr>
          <w:pgSz w:w="11906" w:h="16838"/>
          <w:pgMar w:top="1440" w:right="1800" w:bottom="1440" w:left="1800" w:header="851" w:footer="992" w:gutter="0"/>
          <w:pgNumType w:fmt="decimal"/>
          <w:cols w:space="425" w:num="1"/>
          <w:docGrid w:type="lines" w:linePitch="312" w:charSpace="0"/>
        </w:sectPr>
      </w:pPr>
    </w:p>
    <w:p>
      <w:pPr>
        <w:autoSpaceDE w:val="0"/>
        <w:autoSpaceDN w:val="0"/>
        <w:adjustRightInd w:val="0"/>
        <w:spacing w:line="580" w:lineRule="exact"/>
        <w:ind w:firstLine="642" w:firstLineChars="200"/>
        <w:outlineLvl w:val="1"/>
        <w:rPr>
          <w:rFonts w:hint="eastAsia" w:ascii="仿宋_GB2312" w:hAnsi="Times New Roman" w:eastAsia="仿宋_GB2312" w:cs="Times New Roman"/>
          <w:b/>
          <w:color w:val="auto"/>
          <w:kern w:val="44"/>
          <w:sz w:val="32"/>
          <w:szCs w:val="22"/>
          <w:lang w:val="en-US" w:eastAsia="zh-CN"/>
        </w:rPr>
      </w:pPr>
      <w:r>
        <w:rPr>
          <w:rFonts w:hint="eastAsia" w:ascii="仿宋_GB2312" w:hAnsi="Times New Roman" w:eastAsia="仿宋_GB2312" w:cs="Times New Roman"/>
          <w:b/>
          <w:color w:val="auto"/>
          <w:kern w:val="44"/>
          <w:sz w:val="32"/>
          <w:szCs w:val="22"/>
          <w:lang w:val="en-US" w:eastAsia="zh-CN"/>
        </w:rPr>
        <w:t>附件5：吴忠</w:t>
      </w:r>
      <w:r>
        <w:rPr>
          <w:rFonts w:hint="default" w:ascii="仿宋_GB2312" w:hAnsi="Times New Roman" w:eastAsia="仿宋_GB2312" w:cs="Times New Roman"/>
          <w:b/>
          <w:color w:val="auto"/>
          <w:kern w:val="44"/>
          <w:sz w:val="32"/>
          <w:szCs w:val="22"/>
          <w:lang w:val="en-US" w:eastAsia="zh-CN"/>
        </w:rPr>
        <w:t>市</w:t>
      </w:r>
      <w:r>
        <w:rPr>
          <w:rFonts w:hint="eastAsia" w:ascii="仿宋_GB2312" w:hAnsi="Times New Roman" w:eastAsia="仿宋_GB2312" w:cs="Times New Roman"/>
          <w:b/>
          <w:color w:val="auto"/>
          <w:kern w:val="44"/>
          <w:sz w:val="32"/>
          <w:szCs w:val="22"/>
          <w:lang w:val="en-US" w:eastAsia="zh-CN"/>
        </w:rPr>
        <w:t>重要电力用户名册及联系方式</w:t>
      </w:r>
    </w:p>
    <w:tbl>
      <w:tblPr>
        <w:tblStyle w:val="10"/>
        <w:tblW w:w="14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904"/>
        <w:gridCol w:w="2283"/>
        <w:gridCol w:w="946"/>
        <w:gridCol w:w="1309"/>
        <w:gridCol w:w="1065"/>
        <w:gridCol w:w="900"/>
        <w:gridCol w:w="1034"/>
        <w:gridCol w:w="1271"/>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noWrap w:val="0"/>
            <w:vAlign w:val="center"/>
          </w:tcPr>
          <w:p>
            <w:pPr>
              <w:jc w:val="center"/>
              <w:rPr>
                <w:rFonts w:ascii="宋体" w:hAnsi="宋体"/>
                <w:b/>
                <w:color w:val="auto"/>
                <w:kern w:val="0"/>
                <w:sz w:val="22"/>
                <w:highlight w:val="none"/>
              </w:rPr>
            </w:pPr>
            <w:r>
              <w:rPr>
                <w:rFonts w:hint="eastAsia" w:ascii="宋体" w:hAnsi="宋体"/>
                <w:b/>
                <w:color w:val="auto"/>
                <w:kern w:val="0"/>
                <w:sz w:val="22"/>
                <w:highlight w:val="none"/>
              </w:rPr>
              <w:t>序号</w:t>
            </w:r>
          </w:p>
        </w:tc>
        <w:tc>
          <w:tcPr>
            <w:tcW w:w="1904" w:type="dxa"/>
            <w:noWrap w:val="0"/>
            <w:vAlign w:val="center"/>
          </w:tcPr>
          <w:p>
            <w:pPr>
              <w:ind w:right="-107" w:rightChars="-51"/>
              <w:jc w:val="center"/>
              <w:rPr>
                <w:rFonts w:ascii="宋体" w:hAnsi="宋体"/>
                <w:b/>
                <w:color w:val="auto"/>
                <w:kern w:val="0"/>
                <w:sz w:val="22"/>
                <w:highlight w:val="none"/>
              </w:rPr>
            </w:pPr>
            <w:r>
              <w:rPr>
                <w:rFonts w:hint="eastAsia" w:ascii="宋体" w:hAnsi="宋体"/>
                <w:b/>
                <w:color w:val="auto"/>
                <w:kern w:val="0"/>
                <w:sz w:val="22"/>
                <w:highlight w:val="none"/>
              </w:rPr>
              <w:t>户名</w:t>
            </w:r>
          </w:p>
        </w:tc>
        <w:tc>
          <w:tcPr>
            <w:tcW w:w="2283" w:type="dxa"/>
            <w:noWrap w:val="0"/>
            <w:vAlign w:val="center"/>
          </w:tcPr>
          <w:p>
            <w:pPr>
              <w:jc w:val="center"/>
              <w:rPr>
                <w:rFonts w:ascii="宋体" w:hAnsi="宋体"/>
                <w:b/>
                <w:color w:val="auto"/>
                <w:kern w:val="0"/>
                <w:sz w:val="22"/>
                <w:highlight w:val="none"/>
              </w:rPr>
            </w:pPr>
            <w:r>
              <w:rPr>
                <w:rFonts w:hint="eastAsia" w:ascii="宋体" w:hAnsi="宋体"/>
                <w:b/>
                <w:color w:val="auto"/>
                <w:kern w:val="0"/>
                <w:sz w:val="22"/>
                <w:highlight w:val="none"/>
              </w:rPr>
              <w:t>用电地址</w:t>
            </w:r>
          </w:p>
        </w:tc>
        <w:tc>
          <w:tcPr>
            <w:tcW w:w="946" w:type="dxa"/>
            <w:noWrap w:val="0"/>
            <w:vAlign w:val="center"/>
          </w:tcPr>
          <w:p>
            <w:pPr>
              <w:jc w:val="center"/>
              <w:rPr>
                <w:rFonts w:hint="eastAsia" w:ascii="宋体" w:hAnsi="宋体"/>
                <w:b/>
                <w:color w:val="auto"/>
                <w:kern w:val="0"/>
                <w:sz w:val="22"/>
                <w:highlight w:val="none"/>
                <w:lang w:eastAsia="zh-CN"/>
              </w:rPr>
            </w:pPr>
            <w:r>
              <w:rPr>
                <w:rFonts w:hint="eastAsia" w:ascii="宋体" w:hAnsi="宋体"/>
                <w:b/>
                <w:color w:val="auto"/>
                <w:kern w:val="0"/>
                <w:sz w:val="22"/>
                <w:highlight w:val="none"/>
                <w:lang w:eastAsia="zh-CN"/>
              </w:rPr>
              <w:t>联系人</w:t>
            </w:r>
          </w:p>
        </w:tc>
        <w:tc>
          <w:tcPr>
            <w:tcW w:w="1309" w:type="dxa"/>
            <w:noWrap w:val="0"/>
            <w:vAlign w:val="center"/>
          </w:tcPr>
          <w:p>
            <w:pPr>
              <w:jc w:val="center"/>
              <w:rPr>
                <w:rFonts w:hint="eastAsia" w:ascii="宋体" w:hAnsi="宋体" w:eastAsiaTheme="minorEastAsia"/>
                <w:b/>
                <w:color w:val="auto"/>
                <w:kern w:val="0"/>
                <w:sz w:val="22"/>
                <w:highlight w:val="none"/>
                <w:lang w:eastAsia="zh-CN"/>
              </w:rPr>
            </w:pPr>
            <w:r>
              <w:rPr>
                <w:rFonts w:hint="eastAsia" w:ascii="宋体" w:hAnsi="宋体"/>
                <w:b/>
                <w:color w:val="auto"/>
                <w:kern w:val="0"/>
                <w:sz w:val="22"/>
                <w:highlight w:val="none"/>
                <w:lang w:eastAsia="zh-CN"/>
              </w:rPr>
              <w:t>联系方式</w:t>
            </w:r>
          </w:p>
        </w:tc>
        <w:tc>
          <w:tcPr>
            <w:tcW w:w="1065" w:type="dxa"/>
            <w:noWrap w:val="0"/>
            <w:vAlign w:val="center"/>
          </w:tcPr>
          <w:p>
            <w:pPr>
              <w:jc w:val="center"/>
              <w:rPr>
                <w:rFonts w:hint="eastAsia" w:ascii="宋体" w:hAnsi="宋体"/>
                <w:b/>
                <w:color w:val="auto"/>
                <w:kern w:val="0"/>
                <w:sz w:val="22"/>
                <w:highlight w:val="none"/>
              </w:rPr>
            </w:pPr>
            <w:r>
              <w:rPr>
                <w:rFonts w:hint="eastAsia" w:ascii="宋体" w:hAnsi="宋体"/>
                <w:b/>
                <w:color w:val="auto"/>
                <w:kern w:val="0"/>
                <w:sz w:val="22"/>
                <w:highlight w:val="none"/>
              </w:rPr>
              <w:t>设备容量</w:t>
            </w:r>
          </w:p>
          <w:p>
            <w:pPr>
              <w:jc w:val="center"/>
              <w:rPr>
                <w:rFonts w:ascii="宋体" w:hAnsi="宋体"/>
                <w:b/>
                <w:color w:val="auto"/>
                <w:kern w:val="0"/>
                <w:sz w:val="22"/>
                <w:highlight w:val="none"/>
              </w:rPr>
            </w:pPr>
            <w:r>
              <w:rPr>
                <w:rFonts w:hint="eastAsia" w:ascii="宋体" w:hAnsi="宋体"/>
                <w:b/>
                <w:color w:val="auto"/>
                <w:kern w:val="0"/>
                <w:sz w:val="22"/>
                <w:highlight w:val="none"/>
              </w:rPr>
              <w:t>（kVA）</w:t>
            </w:r>
          </w:p>
        </w:tc>
        <w:tc>
          <w:tcPr>
            <w:tcW w:w="900" w:type="dxa"/>
            <w:noWrap w:val="0"/>
            <w:vAlign w:val="center"/>
          </w:tcPr>
          <w:p>
            <w:pPr>
              <w:jc w:val="center"/>
              <w:rPr>
                <w:rFonts w:hint="eastAsia" w:ascii="宋体" w:hAnsi="宋体"/>
                <w:b/>
                <w:color w:val="auto"/>
                <w:kern w:val="0"/>
                <w:sz w:val="22"/>
                <w:highlight w:val="none"/>
              </w:rPr>
            </w:pPr>
            <w:r>
              <w:rPr>
                <w:rFonts w:hint="eastAsia" w:ascii="宋体" w:hAnsi="宋体"/>
                <w:b/>
                <w:color w:val="auto"/>
                <w:kern w:val="0"/>
                <w:sz w:val="22"/>
                <w:highlight w:val="none"/>
              </w:rPr>
              <w:t>受电电压</w:t>
            </w:r>
          </w:p>
          <w:p>
            <w:pPr>
              <w:jc w:val="center"/>
              <w:rPr>
                <w:rFonts w:ascii="宋体" w:hAnsi="宋体"/>
                <w:b/>
                <w:color w:val="auto"/>
                <w:kern w:val="0"/>
                <w:sz w:val="22"/>
                <w:highlight w:val="none"/>
              </w:rPr>
            </w:pPr>
            <w:r>
              <w:rPr>
                <w:rFonts w:hint="eastAsia" w:ascii="宋体" w:hAnsi="宋体"/>
                <w:b/>
                <w:color w:val="auto"/>
                <w:kern w:val="0"/>
                <w:sz w:val="22"/>
                <w:highlight w:val="none"/>
              </w:rPr>
              <w:t>（kV）</w:t>
            </w:r>
          </w:p>
        </w:tc>
        <w:tc>
          <w:tcPr>
            <w:tcW w:w="1034" w:type="dxa"/>
            <w:noWrap w:val="0"/>
            <w:vAlign w:val="center"/>
          </w:tcPr>
          <w:p>
            <w:pPr>
              <w:jc w:val="center"/>
              <w:rPr>
                <w:rFonts w:hint="eastAsia" w:ascii="宋体" w:hAnsi="宋体" w:eastAsia="宋体"/>
                <w:b/>
                <w:color w:val="auto"/>
                <w:kern w:val="0"/>
                <w:sz w:val="22"/>
                <w:highlight w:val="none"/>
                <w:lang w:eastAsia="zh-CN"/>
              </w:rPr>
            </w:pPr>
            <w:r>
              <w:rPr>
                <w:rFonts w:hint="eastAsia" w:ascii="宋体" w:hAnsi="宋体"/>
                <w:b/>
                <w:color w:val="auto"/>
                <w:kern w:val="0"/>
                <w:sz w:val="22"/>
                <w:highlight w:val="none"/>
                <w:lang w:eastAsia="zh-CN"/>
              </w:rPr>
              <w:t>电源配置情况</w:t>
            </w:r>
          </w:p>
        </w:tc>
        <w:tc>
          <w:tcPr>
            <w:tcW w:w="1271" w:type="dxa"/>
            <w:noWrap w:val="0"/>
            <w:vAlign w:val="center"/>
          </w:tcPr>
          <w:p>
            <w:pPr>
              <w:jc w:val="center"/>
              <w:rPr>
                <w:rFonts w:hint="eastAsia" w:ascii="宋体" w:hAnsi="宋体" w:eastAsia="宋体"/>
                <w:b/>
                <w:color w:val="auto"/>
                <w:kern w:val="0"/>
                <w:sz w:val="22"/>
                <w:highlight w:val="none"/>
                <w:lang w:val="en-US" w:eastAsia="zh-CN"/>
              </w:rPr>
            </w:pPr>
            <w:r>
              <w:rPr>
                <w:rFonts w:hint="eastAsia" w:ascii="宋体" w:hAnsi="宋体"/>
                <w:b/>
                <w:color w:val="auto"/>
                <w:kern w:val="0"/>
                <w:sz w:val="22"/>
                <w:highlight w:val="none"/>
              </w:rPr>
              <w:t>重要性等级</w:t>
            </w:r>
          </w:p>
        </w:tc>
        <w:tc>
          <w:tcPr>
            <w:tcW w:w="2861" w:type="dxa"/>
            <w:noWrap w:val="0"/>
            <w:vAlign w:val="center"/>
          </w:tcPr>
          <w:p>
            <w:pPr>
              <w:jc w:val="center"/>
              <w:rPr>
                <w:rFonts w:ascii="宋体" w:hAnsi="宋体"/>
                <w:b/>
                <w:color w:val="auto"/>
                <w:kern w:val="0"/>
                <w:sz w:val="22"/>
                <w:highlight w:val="none"/>
              </w:rPr>
            </w:pPr>
            <w:r>
              <w:rPr>
                <w:rFonts w:hint="eastAsia" w:ascii="宋体" w:hAnsi="宋体"/>
                <w:b/>
                <w:color w:val="auto"/>
                <w:kern w:val="0"/>
                <w:sz w:val="22"/>
                <w:highlight w:val="none"/>
              </w:rPr>
              <w:t>供电电源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556" w:type="dxa"/>
            <w:vMerge w:val="restart"/>
            <w:noWrap w:val="0"/>
            <w:vAlign w:val="center"/>
          </w:tcPr>
          <w:p>
            <w:pPr>
              <w:jc w:val="center"/>
              <w:rPr>
                <w:rFonts w:ascii="宋体" w:hAnsi="宋体"/>
                <w:color w:val="auto"/>
                <w:kern w:val="0"/>
                <w:sz w:val="24"/>
                <w:highlight w:val="none"/>
              </w:rPr>
            </w:pPr>
            <w:r>
              <w:rPr>
                <w:rFonts w:ascii="宋体" w:hAnsi="宋体"/>
                <w:color w:val="auto"/>
                <w:kern w:val="0"/>
                <w:sz w:val="24"/>
                <w:highlight w:val="none"/>
              </w:rPr>
              <w:t>1</w:t>
            </w:r>
          </w:p>
        </w:tc>
        <w:tc>
          <w:tcPr>
            <w:tcW w:w="1904"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宁夏太阳山新发煤矿有限公司</w:t>
            </w:r>
          </w:p>
        </w:tc>
        <w:tc>
          <w:tcPr>
            <w:tcW w:w="2283" w:type="dxa"/>
            <w:vMerge w:val="restart"/>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rPr>
              <w:t>吴忠市红寺堡县红寺堡镇弘德社区慈善路弘德工业园区</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5335</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bookmarkStart w:id="48" w:name="_GoBack"/>
            <w:bookmarkEnd w:id="48"/>
          </w:p>
        </w:tc>
        <w:tc>
          <w:tcPr>
            <w:tcW w:w="1034" w:type="dxa"/>
            <w:vMerge w:val="restart"/>
            <w:noWrap w:val="0"/>
            <w:vAlign w:val="center"/>
          </w:tcPr>
          <w:p>
            <w:pPr>
              <w:jc w:val="center"/>
              <w:rPr>
                <w:rFonts w:hint="eastAsia" w:ascii="宋体" w:hAnsi="宋体" w:eastAsia="宋体"/>
                <w:color w:val="auto"/>
                <w:kern w:val="0"/>
                <w:sz w:val="24"/>
                <w:highlight w:val="none"/>
                <w:lang w:eastAsia="zh-CN"/>
              </w:rPr>
            </w:pPr>
          </w:p>
        </w:tc>
        <w:tc>
          <w:tcPr>
            <w:tcW w:w="1271"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一级</w:t>
            </w: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jc w:val="center"/>
        </w:trPr>
        <w:tc>
          <w:tcPr>
            <w:tcW w:w="556" w:type="dxa"/>
            <w:vMerge w:val="continue"/>
            <w:noWrap w:val="0"/>
            <w:vAlign w:val="center"/>
          </w:tcPr>
          <w:p>
            <w:pPr>
              <w:jc w:val="center"/>
              <w:rPr>
                <w:rFonts w:hint="eastAsia" w:ascii="宋体" w:hAnsi="宋体"/>
                <w:color w:val="auto"/>
                <w:kern w:val="0"/>
                <w:sz w:val="24"/>
                <w:highlight w:val="none"/>
              </w:rPr>
            </w:pPr>
          </w:p>
        </w:tc>
        <w:tc>
          <w:tcPr>
            <w:tcW w:w="1904" w:type="dxa"/>
            <w:vMerge w:val="continue"/>
            <w:noWrap w:val="0"/>
            <w:vAlign w:val="center"/>
          </w:tcPr>
          <w:p>
            <w:pPr>
              <w:jc w:val="center"/>
              <w:rPr>
                <w:rFonts w:hint="eastAsia" w:ascii="宋体" w:hAnsi="宋体"/>
                <w:color w:val="auto"/>
                <w:kern w:val="0"/>
                <w:sz w:val="24"/>
                <w:highlight w:val="none"/>
              </w:rPr>
            </w:pPr>
          </w:p>
        </w:tc>
        <w:tc>
          <w:tcPr>
            <w:tcW w:w="2283" w:type="dxa"/>
            <w:vMerge w:val="continue"/>
            <w:noWrap w:val="0"/>
            <w:vAlign w:val="center"/>
          </w:tcPr>
          <w:p>
            <w:pPr>
              <w:jc w:val="center"/>
              <w:rPr>
                <w:rFonts w:hint="eastAsia" w:ascii="宋体" w:hAnsi="宋体"/>
                <w:color w:val="auto"/>
                <w:kern w:val="0"/>
                <w:sz w:val="24"/>
                <w:highlight w:val="none"/>
              </w:rPr>
            </w:pP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1255</w:t>
            </w:r>
          </w:p>
        </w:tc>
        <w:tc>
          <w:tcPr>
            <w:tcW w:w="900" w:type="dxa"/>
            <w:vMerge w:val="continue"/>
            <w:noWrap w:val="0"/>
            <w:vAlign w:val="center"/>
          </w:tcPr>
          <w:p>
            <w:pPr>
              <w:jc w:val="center"/>
              <w:rPr>
                <w:rFonts w:hint="eastAsia" w:ascii="宋体" w:hAnsi="宋体"/>
                <w:color w:val="auto"/>
                <w:kern w:val="0"/>
                <w:sz w:val="24"/>
                <w:highlight w:val="none"/>
              </w:rPr>
            </w:pPr>
          </w:p>
        </w:tc>
        <w:tc>
          <w:tcPr>
            <w:tcW w:w="1034" w:type="dxa"/>
            <w:vMerge w:val="continue"/>
            <w:noWrap w:val="0"/>
            <w:vAlign w:val="center"/>
          </w:tcPr>
          <w:p>
            <w:pPr>
              <w:jc w:val="center"/>
              <w:rPr>
                <w:rFonts w:hint="eastAsia" w:ascii="宋体" w:hAnsi="宋体"/>
                <w:color w:val="auto"/>
                <w:kern w:val="0"/>
                <w:sz w:val="24"/>
                <w:highlight w:val="none"/>
              </w:rPr>
            </w:pPr>
          </w:p>
        </w:tc>
        <w:tc>
          <w:tcPr>
            <w:tcW w:w="1271" w:type="dxa"/>
            <w:vMerge w:val="continue"/>
            <w:noWrap w:val="0"/>
            <w:vAlign w:val="center"/>
          </w:tcPr>
          <w:p>
            <w:pPr>
              <w:jc w:val="center"/>
              <w:rPr>
                <w:rFonts w:hint="eastAsia" w:ascii="宋体" w:hAnsi="宋体"/>
                <w:color w:val="auto"/>
                <w:kern w:val="0"/>
                <w:sz w:val="24"/>
                <w:highlight w:val="none"/>
              </w:rPr>
            </w:pP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556" w:type="dxa"/>
            <w:vMerge w:val="restart"/>
            <w:noWrap w:val="0"/>
            <w:vAlign w:val="center"/>
          </w:tcPr>
          <w:p>
            <w:pPr>
              <w:jc w:val="center"/>
              <w:rPr>
                <w:rFonts w:ascii="宋体" w:hAnsi="宋体"/>
                <w:color w:val="auto"/>
                <w:kern w:val="0"/>
                <w:sz w:val="24"/>
                <w:highlight w:val="none"/>
              </w:rPr>
            </w:pPr>
            <w:r>
              <w:rPr>
                <w:rFonts w:ascii="宋体" w:hAnsi="宋体"/>
                <w:color w:val="auto"/>
                <w:kern w:val="0"/>
                <w:sz w:val="24"/>
                <w:highlight w:val="none"/>
              </w:rPr>
              <w:t>2</w:t>
            </w:r>
          </w:p>
        </w:tc>
        <w:tc>
          <w:tcPr>
            <w:tcW w:w="1904"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宁夏福翔煤业有限公司（隆能煤矿）</w:t>
            </w:r>
          </w:p>
        </w:tc>
        <w:tc>
          <w:tcPr>
            <w:tcW w:w="2283" w:type="dxa"/>
            <w:vMerge w:val="restart"/>
            <w:noWrap w:val="0"/>
            <w:vAlign w:val="center"/>
          </w:tcPr>
          <w:p>
            <w:pPr>
              <w:pStyle w:val="13"/>
              <w:rPr>
                <w:rFonts w:ascii="宋体" w:hAnsi="宋体"/>
                <w:color w:val="auto"/>
                <w:sz w:val="24"/>
                <w:highlight w:val="none"/>
              </w:rPr>
            </w:pPr>
            <w:r>
              <w:rPr>
                <w:rFonts w:hint="eastAsia" w:ascii="宋体" w:hAnsi="宋体"/>
                <w:color w:val="auto"/>
                <w:sz w:val="24"/>
                <w:highlight w:val="none"/>
              </w:rPr>
              <w:t>吴忠市红寺堡县太阳山经济开发区汪家河变511石料园区线工作区石料园区处</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1430</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eastAsia="宋体"/>
                <w:color w:val="auto"/>
                <w:kern w:val="0"/>
                <w:sz w:val="24"/>
                <w:highlight w:val="none"/>
                <w:lang w:eastAsia="zh-CN"/>
              </w:rPr>
            </w:pPr>
          </w:p>
        </w:tc>
        <w:tc>
          <w:tcPr>
            <w:tcW w:w="1271"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一级</w:t>
            </w: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556" w:type="dxa"/>
            <w:vMerge w:val="continue"/>
            <w:noWrap w:val="0"/>
            <w:vAlign w:val="center"/>
          </w:tcPr>
          <w:p>
            <w:pPr>
              <w:jc w:val="center"/>
              <w:rPr>
                <w:rFonts w:hint="eastAsia" w:ascii="宋体" w:hAnsi="宋体"/>
                <w:color w:val="auto"/>
                <w:kern w:val="0"/>
                <w:sz w:val="24"/>
                <w:highlight w:val="none"/>
              </w:rPr>
            </w:pPr>
          </w:p>
        </w:tc>
        <w:tc>
          <w:tcPr>
            <w:tcW w:w="1904" w:type="dxa"/>
            <w:vMerge w:val="continue"/>
            <w:noWrap w:val="0"/>
            <w:vAlign w:val="center"/>
          </w:tcPr>
          <w:p>
            <w:pPr>
              <w:jc w:val="center"/>
              <w:rPr>
                <w:rFonts w:hint="eastAsia" w:ascii="宋体" w:hAnsi="宋体"/>
                <w:color w:val="auto"/>
                <w:kern w:val="0"/>
                <w:sz w:val="24"/>
                <w:highlight w:val="none"/>
              </w:rPr>
            </w:pPr>
          </w:p>
        </w:tc>
        <w:tc>
          <w:tcPr>
            <w:tcW w:w="2283" w:type="dxa"/>
            <w:vMerge w:val="continue"/>
            <w:noWrap w:val="0"/>
            <w:vAlign w:val="center"/>
          </w:tcPr>
          <w:p>
            <w:pPr>
              <w:jc w:val="center"/>
              <w:rPr>
                <w:rFonts w:hint="eastAsia" w:ascii="宋体" w:hAnsi="宋体"/>
                <w:color w:val="auto"/>
                <w:kern w:val="0"/>
                <w:sz w:val="24"/>
                <w:highlight w:val="none"/>
              </w:rPr>
            </w:pP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630</w:t>
            </w:r>
          </w:p>
        </w:tc>
        <w:tc>
          <w:tcPr>
            <w:tcW w:w="900" w:type="dxa"/>
            <w:vMerge w:val="continue"/>
            <w:noWrap w:val="0"/>
            <w:vAlign w:val="center"/>
          </w:tcPr>
          <w:p>
            <w:pPr>
              <w:jc w:val="center"/>
              <w:rPr>
                <w:rFonts w:hint="eastAsia" w:ascii="宋体" w:hAnsi="宋体"/>
                <w:color w:val="auto"/>
                <w:kern w:val="0"/>
                <w:sz w:val="24"/>
                <w:highlight w:val="none"/>
              </w:rPr>
            </w:pPr>
          </w:p>
        </w:tc>
        <w:tc>
          <w:tcPr>
            <w:tcW w:w="1034" w:type="dxa"/>
            <w:vMerge w:val="continue"/>
            <w:noWrap w:val="0"/>
            <w:vAlign w:val="center"/>
          </w:tcPr>
          <w:p>
            <w:pPr>
              <w:jc w:val="center"/>
              <w:rPr>
                <w:rFonts w:hint="eastAsia" w:ascii="宋体" w:hAnsi="宋体"/>
                <w:color w:val="auto"/>
                <w:kern w:val="0"/>
                <w:sz w:val="24"/>
                <w:highlight w:val="none"/>
              </w:rPr>
            </w:pPr>
          </w:p>
        </w:tc>
        <w:tc>
          <w:tcPr>
            <w:tcW w:w="1271" w:type="dxa"/>
            <w:vMerge w:val="continue"/>
            <w:noWrap w:val="0"/>
            <w:vAlign w:val="center"/>
          </w:tcPr>
          <w:p>
            <w:pPr>
              <w:jc w:val="center"/>
              <w:rPr>
                <w:rFonts w:hint="eastAsia" w:ascii="宋体" w:hAnsi="宋体"/>
                <w:color w:val="auto"/>
                <w:kern w:val="0"/>
                <w:sz w:val="24"/>
                <w:highlight w:val="none"/>
              </w:rPr>
            </w:pP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556" w:type="dxa"/>
            <w:vMerge w:val="restart"/>
            <w:noWrap w:val="0"/>
            <w:vAlign w:val="center"/>
          </w:tcPr>
          <w:p>
            <w:pPr>
              <w:jc w:val="center"/>
              <w:rPr>
                <w:rFonts w:ascii="宋体" w:hAnsi="宋体"/>
                <w:color w:val="auto"/>
                <w:kern w:val="0"/>
                <w:sz w:val="24"/>
                <w:highlight w:val="none"/>
              </w:rPr>
            </w:pPr>
            <w:r>
              <w:rPr>
                <w:rFonts w:ascii="宋体" w:hAnsi="宋体"/>
                <w:color w:val="auto"/>
                <w:kern w:val="0"/>
                <w:sz w:val="24"/>
                <w:highlight w:val="none"/>
              </w:rPr>
              <w:t>3</w:t>
            </w:r>
          </w:p>
        </w:tc>
        <w:tc>
          <w:tcPr>
            <w:tcW w:w="1904"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吴忠太阳山暖泉煤业有限公司</w:t>
            </w:r>
          </w:p>
        </w:tc>
        <w:tc>
          <w:tcPr>
            <w:tcW w:w="2283" w:type="dxa"/>
            <w:vMerge w:val="restart"/>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rPr>
              <w:t>吴忠市红寺堡县红寺堡镇弘德社区慈善路弘德工业园区</w:t>
            </w:r>
          </w:p>
        </w:tc>
        <w:tc>
          <w:tcPr>
            <w:tcW w:w="946" w:type="dxa"/>
            <w:noWrap w:val="0"/>
            <w:vAlign w:val="center"/>
          </w:tcPr>
          <w:p>
            <w:pPr>
              <w:jc w:val="center"/>
              <w:rPr>
                <w:rFonts w:hint="eastAsia" w:ascii="宋体" w:hAnsi="宋体"/>
                <w:color w:val="auto"/>
                <w:kern w:val="0"/>
                <w:sz w:val="24"/>
                <w:szCs w:val="22"/>
                <w:highlight w:val="none"/>
                <w:lang w:val="en-US" w:eastAsia="zh-CN"/>
              </w:rPr>
            </w:pPr>
          </w:p>
        </w:tc>
        <w:tc>
          <w:tcPr>
            <w:tcW w:w="1309" w:type="dxa"/>
            <w:noWrap w:val="0"/>
            <w:vAlign w:val="center"/>
          </w:tcPr>
          <w:p>
            <w:pPr>
              <w:jc w:val="center"/>
              <w:rPr>
                <w:rFonts w:hint="eastAsia" w:ascii="宋体" w:hAnsi="宋体"/>
                <w:color w:val="auto"/>
                <w:kern w:val="0"/>
                <w:sz w:val="24"/>
                <w:szCs w:val="22"/>
                <w:highlight w:val="none"/>
                <w:lang w:val="en-US" w:eastAsia="zh-CN"/>
              </w:rPr>
            </w:pPr>
          </w:p>
        </w:tc>
        <w:tc>
          <w:tcPr>
            <w:tcW w:w="1065" w:type="dxa"/>
            <w:noWrap w:val="0"/>
            <w:vAlign w:val="center"/>
          </w:tcPr>
          <w:p>
            <w:pPr>
              <w:jc w:val="center"/>
              <w:rPr>
                <w:rFonts w:hint="eastAsia" w:ascii="宋体" w:hAnsi="宋体" w:eastAsia="宋体"/>
                <w:color w:val="auto"/>
                <w:kern w:val="0"/>
                <w:sz w:val="24"/>
                <w:szCs w:val="22"/>
                <w:highlight w:val="none"/>
                <w:lang w:val="en-US" w:eastAsia="zh-CN"/>
              </w:rPr>
            </w:pPr>
            <w:r>
              <w:rPr>
                <w:rFonts w:hint="eastAsia" w:ascii="宋体" w:hAnsi="宋体"/>
                <w:color w:val="auto"/>
                <w:kern w:val="0"/>
                <w:sz w:val="24"/>
                <w:szCs w:val="22"/>
                <w:highlight w:val="none"/>
                <w:lang w:val="en-US" w:eastAsia="zh-CN"/>
              </w:rPr>
              <w:t>3180</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eastAsia="宋体"/>
                <w:color w:val="auto"/>
                <w:kern w:val="0"/>
                <w:sz w:val="24"/>
                <w:highlight w:val="none"/>
                <w:lang w:eastAsia="zh-CN"/>
              </w:rPr>
            </w:pPr>
          </w:p>
        </w:tc>
        <w:tc>
          <w:tcPr>
            <w:tcW w:w="1271" w:type="dxa"/>
            <w:vMerge w:val="restart"/>
            <w:noWrap w:val="0"/>
            <w:vAlign w:val="center"/>
          </w:tcPr>
          <w:p>
            <w:pPr>
              <w:jc w:val="center"/>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一</w:t>
            </w:r>
            <w:r>
              <w:rPr>
                <w:rFonts w:hint="eastAsia" w:ascii="宋体" w:hAnsi="宋体"/>
                <w:color w:val="auto"/>
                <w:kern w:val="0"/>
                <w:sz w:val="24"/>
                <w:highlight w:val="none"/>
              </w:rPr>
              <w:t>级</w:t>
            </w: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556" w:type="dxa"/>
            <w:vMerge w:val="continue"/>
            <w:noWrap w:val="0"/>
            <w:vAlign w:val="center"/>
          </w:tcPr>
          <w:p>
            <w:pPr>
              <w:jc w:val="center"/>
            </w:pPr>
          </w:p>
        </w:tc>
        <w:tc>
          <w:tcPr>
            <w:tcW w:w="1904" w:type="dxa"/>
            <w:vMerge w:val="continue"/>
            <w:noWrap w:val="0"/>
            <w:vAlign w:val="center"/>
          </w:tcPr>
          <w:p>
            <w:pPr>
              <w:jc w:val="center"/>
            </w:pPr>
          </w:p>
        </w:tc>
        <w:tc>
          <w:tcPr>
            <w:tcW w:w="2283" w:type="dxa"/>
            <w:vMerge w:val="continue"/>
            <w:noWrap w:val="0"/>
            <w:vAlign w:val="center"/>
          </w:tcPr>
          <w:p>
            <w:pPr>
              <w:jc w:val="center"/>
            </w:pPr>
          </w:p>
        </w:tc>
        <w:tc>
          <w:tcPr>
            <w:tcW w:w="946" w:type="dxa"/>
            <w:noWrap w:val="0"/>
            <w:vAlign w:val="center"/>
          </w:tcPr>
          <w:p>
            <w:pPr>
              <w:jc w:val="center"/>
              <w:rPr>
                <w:rFonts w:hint="eastAsia" w:ascii="宋体" w:hAnsi="宋体"/>
                <w:color w:val="auto"/>
                <w:kern w:val="0"/>
                <w:sz w:val="24"/>
                <w:szCs w:val="22"/>
                <w:highlight w:val="none"/>
                <w:lang w:val="en-US" w:eastAsia="zh-CN"/>
              </w:rPr>
            </w:pPr>
          </w:p>
        </w:tc>
        <w:tc>
          <w:tcPr>
            <w:tcW w:w="1309" w:type="dxa"/>
            <w:noWrap w:val="0"/>
            <w:vAlign w:val="center"/>
          </w:tcPr>
          <w:p>
            <w:pPr>
              <w:jc w:val="center"/>
              <w:rPr>
                <w:rFonts w:hint="eastAsia" w:ascii="宋体" w:hAnsi="宋体"/>
                <w:color w:val="auto"/>
                <w:kern w:val="0"/>
                <w:sz w:val="24"/>
                <w:szCs w:val="22"/>
                <w:highlight w:val="none"/>
                <w:lang w:val="en-US" w:eastAsia="zh-CN"/>
              </w:rPr>
            </w:pPr>
          </w:p>
        </w:tc>
        <w:tc>
          <w:tcPr>
            <w:tcW w:w="1065" w:type="dxa"/>
            <w:noWrap w:val="0"/>
            <w:vAlign w:val="center"/>
          </w:tcPr>
          <w:p>
            <w:pPr>
              <w:jc w:val="center"/>
              <w:rPr>
                <w:rFonts w:hint="eastAsia" w:ascii="宋体" w:hAnsi="宋体" w:eastAsia="宋体"/>
                <w:color w:val="auto"/>
                <w:kern w:val="0"/>
                <w:sz w:val="24"/>
                <w:szCs w:val="22"/>
                <w:highlight w:val="none"/>
                <w:lang w:val="en-US" w:eastAsia="zh-CN"/>
              </w:rPr>
            </w:pPr>
            <w:r>
              <w:rPr>
                <w:rFonts w:hint="eastAsia" w:ascii="宋体" w:hAnsi="宋体"/>
                <w:color w:val="auto"/>
                <w:kern w:val="0"/>
                <w:sz w:val="24"/>
                <w:szCs w:val="22"/>
                <w:highlight w:val="none"/>
                <w:lang w:val="en-US" w:eastAsia="zh-CN"/>
              </w:rPr>
              <w:t>1880</w:t>
            </w:r>
          </w:p>
        </w:tc>
        <w:tc>
          <w:tcPr>
            <w:tcW w:w="900" w:type="dxa"/>
            <w:vMerge w:val="continue"/>
            <w:noWrap w:val="0"/>
            <w:vAlign w:val="center"/>
          </w:tcPr>
          <w:p>
            <w:pPr>
              <w:jc w:val="center"/>
              <w:rPr>
                <w:rFonts w:hint="eastAsia" w:ascii="宋体" w:hAnsi="宋体"/>
                <w:color w:val="auto"/>
                <w:kern w:val="0"/>
                <w:sz w:val="24"/>
                <w:szCs w:val="22"/>
                <w:highlight w:val="none"/>
              </w:rPr>
            </w:pPr>
          </w:p>
        </w:tc>
        <w:tc>
          <w:tcPr>
            <w:tcW w:w="1034" w:type="dxa"/>
            <w:vMerge w:val="continue"/>
            <w:noWrap w:val="0"/>
            <w:vAlign w:val="center"/>
          </w:tcPr>
          <w:p>
            <w:pPr>
              <w:jc w:val="center"/>
              <w:rPr>
                <w:rFonts w:hint="eastAsia" w:ascii="宋体" w:hAnsi="宋体"/>
                <w:color w:val="auto"/>
                <w:kern w:val="0"/>
                <w:sz w:val="24"/>
                <w:szCs w:val="22"/>
                <w:highlight w:val="none"/>
              </w:rPr>
            </w:pPr>
          </w:p>
        </w:tc>
        <w:tc>
          <w:tcPr>
            <w:tcW w:w="1271" w:type="dxa"/>
            <w:vMerge w:val="continue"/>
            <w:noWrap w:val="0"/>
            <w:vAlign w:val="center"/>
          </w:tcPr>
          <w:p>
            <w:pPr>
              <w:jc w:val="center"/>
              <w:rPr>
                <w:rFonts w:hint="eastAsia" w:ascii="宋体" w:hAnsi="宋体"/>
                <w:color w:val="auto"/>
                <w:kern w:val="0"/>
                <w:sz w:val="24"/>
                <w:szCs w:val="22"/>
                <w:highlight w:val="none"/>
              </w:rPr>
            </w:pPr>
          </w:p>
        </w:tc>
        <w:tc>
          <w:tcPr>
            <w:tcW w:w="2861" w:type="dxa"/>
            <w:noWrap w:val="0"/>
            <w:vAlign w:val="center"/>
          </w:tcPr>
          <w:p>
            <w:pPr>
              <w:jc w:val="left"/>
              <w:rPr>
                <w:rFonts w:hint="eastAsia" w:ascii="宋体" w:hAnsi="宋体" w:eastAsia="宋体"/>
                <w:color w:val="auto"/>
                <w:kern w:val="0"/>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556" w:type="dxa"/>
            <w:vMerge w:val="restart"/>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4</w:t>
            </w:r>
          </w:p>
        </w:tc>
        <w:tc>
          <w:tcPr>
            <w:tcW w:w="1904"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宁夏万和利煤炭有限公司（小泉煤矿）</w:t>
            </w:r>
          </w:p>
        </w:tc>
        <w:tc>
          <w:tcPr>
            <w:tcW w:w="2283" w:type="dxa"/>
            <w:vMerge w:val="restart"/>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rPr>
              <w:t>吴忠市红寺堡县红寺堡镇弘德社区慈善路弘德工业园区</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2945</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color w:val="auto"/>
                <w:kern w:val="0"/>
                <w:sz w:val="24"/>
                <w:highlight w:val="none"/>
                <w:lang w:eastAsia="zh-CN"/>
              </w:rPr>
            </w:pPr>
          </w:p>
        </w:tc>
        <w:tc>
          <w:tcPr>
            <w:tcW w:w="1271" w:type="dxa"/>
            <w:vMerge w:val="restart"/>
            <w:noWrap w:val="0"/>
            <w:vAlign w:val="center"/>
          </w:tcPr>
          <w:p>
            <w:pPr>
              <w:jc w:val="center"/>
              <w:rPr>
                <w:rFonts w:hint="eastAsia" w:ascii="宋体" w:hAnsi="宋体"/>
                <w:color w:val="auto"/>
                <w:kern w:val="0"/>
                <w:sz w:val="24"/>
                <w:highlight w:val="none"/>
                <w:lang w:val="en-US" w:eastAsia="zh-CN"/>
              </w:rPr>
            </w:pPr>
            <w:r>
              <w:rPr>
                <w:rFonts w:hint="eastAsia" w:ascii="宋体" w:hAnsi="宋体"/>
                <w:color w:val="auto"/>
                <w:kern w:val="0"/>
                <w:sz w:val="24"/>
                <w:highlight w:val="none"/>
                <w:lang w:eastAsia="zh-CN"/>
              </w:rPr>
              <w:t>一</w:t>
            </w:r>
            <w:r>
              <w:rPr>
                <w:rFonts w:hint="eastAsia" w:ascii="宋体" w:hAnsi="宋体"/>
                <w:color w:val="auto"/>
                <w:kern w:val="0"/>
                <w:sz w:val="24"/>
                <w:highlight w:val="none"/>
              </w:rPr>
              <w:t>级</w:t>
            </w: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556" w:type="dxa"/>
            <w:vMerge w:val="continue"/>
            <w:noWrap w:val="0"/>
            <w:vAlign w:val="center"/>
          </w:tcPr>
          <w:p>
            <w:pPr>
              <w:jc w:val="center"/>
            </w:pPr>
          </w:p>
        </w:tc>
        <w:tc>
          <w:tcPr>
            <w:tcW w:w="1904" w:type="dxa"/>
            <w:vMerge w:val="continue"/>
            <w:noWrap w:val="0"/>
            <w:vAlign w:val="center"/>
          </w:tcPr>
          <w:p>
            <w:pPr>
              <w:jc w:val="center"/>
            </w:pPr>
          </w:p>
        </w:tc>
        <w:tc>
          <w:tcPr>
            <w:tcW w:w="2283" w:type="dxa"/>
            <w:vMerge w:val="continue"/>
            <w:noWrap w:val="0"/>
            <w:vAlign w:val="center"/>
          </w:tcPr>
          <w:p>
            <w:pPr>
              <w:jc w:val="center"/>
            </w:pP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2210</w:t>
            </w:r>
          </w:p>
        </w:tc>
        <w:tc>
          <w:tcPr>
            <w:tcW w:w="900" w:type="dxa"/>
            <w:vMerge w:val="continue"/>
            <w:noWrap w:val="0"/>
            <w:vAlign w:val="center"/>
          </w:tcPr>
          <w:p>
            <w:pPr>
              <w:jc w:val="center"/>
              <w:rPr>
                <w:rFonts w:hint="eastAsia" w:ascii="宋体" w:hAnsi="宋体"/>
                <w:color w:val="auto"/>
                <w:kern w:val="0"/>
                <w:sz w:val="24"/>
                <w:highlight w:val="none"/>
              </w:rPr>
            </w:pPr>
          </w:p>
        </w:tc>
        <w:tc>
          <w:tcPr>
            <w:tcW w:w="1034" w:type="dxa"/>
            <w:vMerge w:val="continue"/>
            <w:noWrap w:val="0"/>
            <w:vAlign w:val="center"/>
          </w:tcPr>
          <w:p>
            <w:pPr>
              <w:jc w:val="center"/>
              <w:rPr>
                <w:rFonts w:hint="eastAsia" w:ascii="宋体" w:hAnsi="宋体"/>
                <w:color w:val="auto"/>
                <w:kern w:val="0"/>
                <w:sz w:val="24"/>
                <w:highlight w:val="none"/>
              </w:rPr>
            </w:pPr>
          </w:p>
        </w:tc>
        <w:tc>
          <w:tcPr>
            <w:tcW w:w="1271" w:type="dxa"/>
            <w:vMerge w:val="continue"/>
            <w:noWrap w:val="0"/>
            <w:vAlign w:val="center"/>
          </w:tcPr>
          <w:p>
            <w:pPr>
              <w:jc w:val="center"/>
              <w:rPr>
                <w:rFonts w:hint="eastAsia" w:ascii="宋体" w:hAnsi="宋体"/>
                <w:color w:val="auto"/>
                <w:kern w:val="0"/>
                <w:sz w:val="24"/>
                <w:highlight w:val="none"/>
              </w:rPr>
            </w:pP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556" w:type="dxa"/>
            <w:vMerge w:val="restart"/>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5</w:t>
            </w:r>
          </w:p>
        </w:tc>
        <w:tc>
          <w:tcPr>
            <w:tcW w:w="1904"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宁夏庆华煤化有限公司（韦二矿）</w:t>
            </w:r>
          </w:p>
        </w:tc>
        <w:tc>
          <w:tcPr>
            <w:tcW w:w="2283" w:type="dxa"/>
            <w:vMerge w:val="restart"/>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rPr>
              <w:t>同心县韦州镇</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16000</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color w:val="auto"/>
                <w:kern w:val="0"/>
                <w:sz w:val="24"/>
                <w:highlight w:val="none"/>
                <w:lang w:eastAsia="zh-CN"/>
              </w:rPr>
            </w:pPr>
          </w:p>
        </w:tc>
        <w:tc>
          <w:tcPr>
            <w:tcW w:w="1271" w:type="dxa"/>
            <w:vMerge w:val="restart"/>
            <w:noWrap w:val="0"/>
            <w:vAlign w:val="center"/>
          </w:tcPr>
          <w:p>
            <w:pPr>
              <w:jc w:val="center"/>
              <w:rPr>
                <w:rFonts w:hint="eastAsia" w:ascii="宋体" w:hAnsi="宋体"/>
                <w:color w:val="auto"/>
                <w:kern w:val="0"/>
                <w:sz w:val="24"/>
                <w:highlight w:val="none"/>
                <w:lang w:val="en-US" w:eastAsia="zh-CN"/>
              </w:rPr>
            </w:pPr>
            <w:r>
              <w:rPr>
                <w:rFonts w:hint="eastAsia" w:ascii="宋体" w:hAnsi="宋体"/>
                <w:color w:val="auto"/>
                <w:kern w:val="0"/>
                <w:sz w:val="24"/>
                <w:highlight w:val="none"/>
                <w:lang w:eastAsia="zh-CN"/>
              </w:rPr>
              <w:t>一</w:t>
            </w:r>
            <w:r>
              <w:rPr>
                <w:rFonts w:hint="eastAsia" w:ascii="宋体" w:hAnsi="宋体"/>
                <w:color w:val="auto"/>
                <w:kern w:val="0"/>
                <w:sz w:val="24"/>
                <w:highlight w:val="none"/>
              </w:rPr>
              <w:t>级</w:t>
            </w: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556" w:type="dxa"/>
            <w:vMerge w:val="continue"/>
            <w:noWrap w:val="0"/>
            <w:vAlign w:val="center"/>
          </w:tcPr>
          <w:p>
            <w:pPr>
              <w:jc w:val="center"/>
            </w:pPr>
          </w:p>
        </w:tc>
        <w:tc>
          <w:tcPr>
            <w:tcW w:w="1904" w:type="dxa"/>
            <w:vMerge w:val="continue"/>
            <w:noWrap w:val="0"/>
            <w:vAlign w:val="center"/>
          </w:tcPr>
          <w:p>
            <w:pPr>
              <w:jc w:val="center"/>
            </w:pPr>
          </w:p>
        </w:tc>
        <w:tc>
          <w:tcPr>
            <w:tcW w:w="2283" w:type="dxa"/>
            <w:vMerge w:val="continue"/>
            <w:noWrap w:val="0"/>
            <w:vAlign w:val="center"/>
          </w:tcPr>
          <w:p>
            <w:pPr>
              <w:jc w:val="center"/>
            </w:pP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16000</w:t>
            </w:r>
          </w:p>
        </w:tc>
        <w:tc>
          <w:tcPr>
            <w:tcW w:w="900" w:type="dxa"/>
            <w:vMerge w:val="continue"/>
            <w:noWrap w:val="0"/>
            <w:vAlign w:val="center"/>
          </w:tcPr>
          <w:p>
            <w:pPr>
              <w:jc w:val="center"/>
              <w:rPr>
                <w:rFonts w:hint="eastAsia" w:ascii="宋体" w:hAnsi="宋体"/>
                <w:color w:val="auto"/>
                <w:kern w:val="0"/>
                <w:sz w:val="24"/>
                <w:highlight w:val="none"/>
              </w:rPr>
            </w:pPr>
          </w:p>
        </w:tc>
        <w:tc>
          <w:tcPr>
            <w:tcW w:w="1034" w:type="dxa"/>
            <w:vMerge w:val="continue"/>
            <w:noWrap w:val="0"/>
            <w:vAlign w:val="center"/>
          </w:tcPr>
          <w:p>
            <w:pPr>
              <w:jc w:val="center"/>
              <w:rPr>
                <w:rFonts w:hint="eastAsia" w:ascii="宋体" w:hAnsi="宋体"/>
                <w:color w:val="auto"/>
                <w:kern w:val="0"/>
                <w:sz w:val="24"/>
                <w:highlight w:val="none"/>
              </w:rPr>
            </w:pPr>
          </w:p>
        </w:tc>
        <w:tc>
          <w:tcPr>
            <w:tcW w:w="1271" w:type="dxa"/>
            <w:vMerge w:val="continue"/>
            <w:noWrap w:val="0"/>
            <w:vAlign w:val="center"/>
          </w:tcPr>
          <w:p>
            <w:pPr>
              <w:jc w:val="center"/>
              <w:rPr>
                <w:rFonts w:hint="eastAsia" w:ascii="宋体" w:hAnsi="宋体"/>
                <w:color w:val="auto"/>
                <w:kern w:val="0"/>
                <w:sz w:val="24"/>
                <w:highlight w:val="none"/>
              </w:rPr>
            </w:pP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556" w:type="dxa"/>
            <w:vMerge w:val="restart"/>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6</w:t>
            </w:r>
          </w:p>
        </w:tc>
        <w:tc>
          <w:tcPr>
            <w:tcW w:w="1904"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青铜峡市新井煤业有限公司</w:t>
            </w:r>
          </w:p>
        </w:tc>
        <w:tc>
          <w:tcPr>
            <w:tcW w:w="2283" w:type="dxa"/>
            <w:vMerge w:val="restart"/>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rPr>
              <w:t>青铜峡市阿左旗孪井巴光图示范开发区新井煤矿工作区</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715</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color w:val="auto"/>
                <w:kern w:val="0"/>
                <w:sz w:val="24"/>
                <w:highlight w:val="none"/>
              </w:rPr>
            </w:pPr>
          </w:p>
        </w:tc>
        <w:tc>
          <w:tcPr>
            <w:tcW w:w="1271" w:type="dxa"/>
            <w:vMerge w:val="restart"/>
            <w:noWrap w:val="0"/>
            <w:vAlign w:val="center"/>
          </w:tcPr>
          <w:p>
            <w:pPr>
              <w:jc w:val="center"/>
              <w:rPr>
                <w:rFonts w:hint="eastAsia" w:ascii="宋体" w:hAnsi="宋体"/>
                <w:color w:val="auto"/>
                <w:kern w:val="0"/>
                <w:sz w:val="24"/>
                <w:highlight w:val="none"/>
                <w:lang w:val="en-US" w:eastAsia="zh-CN"/>
              </w:rPr>
            </w:pPr>
            <w:r>
              <w:rPr>
                <w:rFonts w:hint="eastAsia" w:ascii="宋体" w:hAnsi="宋体"/>
                <w:color w:val="auto"/>
                <w:kern w:val="0"/>
                <w:sz w:val="24"/>
                <w:highlight w:val="none"/>
                <w:lang w:eastAsia="zh-CN"/>
              </w:rPr>
              <w:t>一</w:t>
            </w:r>
            <w:r>
              <w:rPr>
                <w:rFonts w:hint="eastAsia" w:ascii="宋体" w:hAnsi="宋体"/>
                <w:color w:val="auto"/>
                <w:kern w:val="0"/>
                <w:sz w:val="24"/>
                <w:highlight w:val="none"/>
              </w:rPr>
              <w:t>级</w:t>
            </w:r>
          </w:p>
        </w:tc>
        <w:tc>
          <w:tcPr>
            <w:tcW w:w="2861" w:type="dxa"/>
            <w:noWrap w:val="0"/>
            <w:vAlign w:val="center"/>
          </w:tcPr>
          <w:p>
            <w:pPr>
              <w:jc w:val="left"/>
              <w:rPr>
                <w:rFonts w:hint="eastAsia" w:ascii="宋体" w:hAnsi="宋体"/>
                <w:color w:val="auto"/>
                <w:kern w:val="0"/>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exact"/>
          <w:jc w:val="center"/>
        </w:trPr>
        <w:tc>
          <w:tcPr>
            <w:tcW w:w="556" w:type="dxa"/>
            <w:vMerge w:val="continue"/>
            <w:noWrap w:val="0"/>
            <w:vAlign w:val="center"/>
          </w:tcPr>
          <w:p>
            <w:pPr>
              <w:jc w:val="center"/>
            </w:pPr>
          </w:p>
        </w:tc>
        <w:tc>
          <w:tcPr>
            <w:tcW w:w="1904" w:type="dxa"/>
            <w:vMerge w:val="continue"/>
            <w:noWrap w:val="0"/>
            <w:vAlign w:val="center"/>
          </w:tcPr>
          <w:p>
            <w:pPr>
              <w:jc w:val="center"/>
            </w:pPr>
          </w:p>
        </w:tc>
        <w:tc>
          <w:tcPr>
            <w:tcW w:w="2283" w:type="dxa"/>
            <w:vMerge w:val="continue"/>
            <w:noWrap w:val="0"/>
            <w:vAlign w:val="center"/>
          </w:tcPr>
          <w:p>
            <w:pPr>
              <w:jc w:val="center"/>
            </w:pP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715</w:t>
            </w:r>
          </w:p>
        </w:tc>
        <w:tc>
          <w:tcPr>
            <w:tcW w:w="900" w:type="dxa"/>
            <w:vMerge w:val="continue"/>
            <w:noWrap w:val="0"/>
            <w:vAlign w:val="center"/>
          </w:tcPr>
          <w:p>
            <w:pPr>
              <w:jc w:val="center"/>
              <w:rPr>
                <w:rFonts w:hint="eastAsia" w:ascii="宋体" w:hAnsi="宋体"/>
                <w:color w:val="auto"/>
                <w:kern w:val="0"/>
                <w:sz w:val="24"/>
                <w:highlight w:val="none"/>
              </w:rPr>
            </w:pPr>
          </w:p>
        </w:tc>
        <w:tc>
          <w:tcPr>
            <w:tcW w:w="1034" w:type="dxa"/>
            <w:vMerge w:val="continue"/>
            <w:noWrap w:val="0"/>
            <w:vAlign w:val="center"/>
          </w:tcPr>
          <w:p>
            <w:pPr>
              <w:jc w:val="center"/>
              <w:rPr>
                <w:rFonts w:hint="eastAsia" w:ascii="宋体" w:hAnsi="宋体"/>
                <w:color w:val="auto"/>
                <w:kern w:val="0"/>
                <w:sz w:val="24"/>
                <w:highlight w:val="none"/>
              </w:rPr>
            </w:pPr>
          </w:p>
        </w:tc>
        <w:tc>
          <w:tcPr>
            <w:tcW w:w="1271" w:type="dxa"/>
            <w:vMerge w:val="continue"/>
            <w:noWrap w:val="0"/>
            <w:vAlign w:val="center"/>
          </w:tcPr>
          <w:p>
            <w:pPr>
              <w:jc w:val="center"/>
              <w:rPr>
                <w:rFonts w:hint="eastAsia" w:ascii="宋体" w:hAnsi="宋体"/>
                <w:color w:val="auto"/>
                <w:kern w:val="0"/>
                <w:sz w:val="24"/>
                <w:highlight w:val="none"/>
              </w:rPr>
            </w:pPr>
          </w:p>
        </w:tc>
        <w:tc>
          <w:tcPr>
            <w:tcW w:w="2861" w:type="dxa"/>
            <w:noWrap w:val="0"/>
            <w:vAlign w:val="center"/>
          </w:tcPr>
          <w:p>
            <w:pPr>
              <w:jc w:val="left"/>
              <w:rPr>
                <w:rFonts w:hint="eastAsia" w:ascii="宋体" w:hAnsi="宋体"/>
                <w:color w:val="auto"/>
                <w:kern w:val="0"/>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exact"/>
          <w:jc w:val="center"/>
        </w:trPr>
        <w:tc>
          <w:tcPr>
            <w:tcW w:w="556" w:type="dxa"/>
            <w:vMerge w:val="restart"/>
            <w:noWrap w:val="0"/>
            <w:vAlign w:val="center"/>
          </w:tcPr>
          <w:p>
            <w:pPr>
              <w:jc w:val="center"/>
              <w:rPr>
                <w:rFonts w:hint="eastAsia" w:ascii="宋体" w:hAnsi="宋体" w:eastAsiaTheme="minorEastAsia"/>
                <w:color w:val="auto"/>
                <w:kern w:val="0"/>
                <w:sz w:val="24"/>
                <w:highlight w:val="none"/>
                <w:lang w:val="en-US" w:eastAsia="zh-CN"/>
              </w:rPr>
            </w:pPr>
            <w:r>
              <w:rPr>
                <w:rFonts w:hint="eastAsia" w:ascii="宋体" w:hAnsi="宋体"/>
                <w:color w:val="auto"/>
                <w:kern w:val="0"/>
                <w:sz w:val="24"/>
                <w:highlight w:val="none"/>
                <w:lang w:val="en-US" w:eastAsia="zh-CN"/>
              </w:rPr>
              <w:t>7</w:t>
            </w:r>
          </w:p>
        </w:tc>
        <w:tc>
          <w:tcPr>
            <w:tcW w:w="1904"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中电投宁夏青铜峡能源铝业集团有限公司</w:t>
            </w:r>
          </w:p>
        </w:tc>
        <w:tc>
          <w:tcPr>
            <w:tcW w:w="2283" w:type="dxa"/>
            <w:vMerge w:val="restart"/>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rPr>
              <w:t>青铜峡市青铜峡镇青铜峡铝厂居委会友谊路河西小区</w:t>
            </w:r>
          </w:p>
        </w:tc>
        <w:tc>
          <w:tcPr>
            <w:tcW w:w="946" w:type="dxa"/>
            <w:noWrap w:val="0"/>
            <w:vAlign w:val="center"/>
          </w:tcPr>
          <w:p>
            <w:pPr>
              <w:jc w:val="center"/>
              <w:rPr>
                <w:rFonts w:hint="eastAsia" w:ascii="宋体" w:hAnsi="宋体" w:eastAsia="宋体"/>
                <w:color w:val="auto"/>
                <w:kern w:val="0"/>
                <w:sz w:val="24"/>
                <w:highlight w:val="none"/>
                <w:lang w:val="en-US" w:eastAsia="zh-CN"/>
              </w:rPr>
            </w:pPr>
          </w:p>
        </w:tc>
        <w:tc>
          <w:tcPr>
            <w:tcW w:w="1309" w:type="dxa"/>
            <w:noWrap w:val="0"/>
            <w:vAlign w:val="center"/>
          </w:tcPr>
          <w:p>
            <w:pPr>
              <w:jc w:val="center"/>
              <w:rPr>
                <w:rFonts w:hint="eastAsia" w:ascii="宋体" w:hAnsi="宋体" w:eastAsia="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37500</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color w:val="auto"/>
                <w:kern w:val="0"/>
                <w:sz w:val="24"/>
                <w:highlight w:val="none"/>
              </w:rPr>
            </w:pPr>
          </w:p>
        </w:tc>
        <w:tc>
          <w:tcPr>
            <w:tcW w:w="1271"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二级</w:t>
            </w: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exact"/>
          <w:jc w:val="center"/>
        </w:trPr>
        <w:tc>
          <w:tcPr>
            <w:tcW w:w="556" w:type="dxa"/>
            <w:vMerge w:val="continue"/>
            <w:noWrap w:val="0"/>
            <w:vAlign w:val="center"/>
          </w:tcPr>
          <w:p>
            <w:pPr>
              <w:jc w:val="left"/>
            </w:pPr>
          </w:p>
        </w:tc>
        <w:tc>
          <w:tcPr>
            <w:tcW w:w="1904" w:type="dxa"/>
            <w:vMerge w:val="continue"/>
            <w:noWrap w:val="0"/>
            <w:vAlign w:val="center"/>
          </w:tcPr>
          <w:p>
            <w:pPr>
              <w:jc w:val="left"/>
            </w:pPr>
          </w:p>
        </w:tc>
        <w:tc>
          <w:tcPr>
            <w:tcW w:w="2283" w:type="dxa"/>
            <w:vMerge w:val="continue"/>
            <w:noWrap w:val="0"/>
            <w:vAlign w:val="center"/>
          </w:tcPr>
          <w:p>
            <w:pPr>
              <w:jc w:val="left"/>
            </w:pPr>
          </w:p>
        </w:tc>
        <w:tc>
          <w:tcPr>
            <w:tcW w:w="946" w:type="dxa"/>
            <w:noWrap w:val="0"/>
            <w:vAlign w:val="center"/>
          </w:tcPr>
          <w:p>
            <w:pPr>
              <w:jc w:val="center"/>
              <w:rPr>
                <w:rFonts w:hint="eastAsia" w:ascii="宋体" w:hAnsi="宋体"/>
                <w:color w:val="auto"/>
                <w:kern w:val="0"/>
                <w:sz w:val="24"/>
                <w:szCs w:val="22"/>
                <w:highlight w:val="none"/>
                <w:lang w:val="en-US" w:eastAsia="zh-CN"/>
              </w:rPr>
            </w:pPr>
          </w:p>
        </w:tc>
        <w:tc>
          <w:tcPr>
            <w:tcW w:w="1309" w:type="dxa"/>
            <w:noWrap w:val="0"/>
            <w:vAlign w:val="center"/>
          </w:tcPr>
          <w:p>
            <w:pPr>
              <w:jc w:val="center"/>
              <w:rPr>
                <w:rFonts w:hint="eastAsia" w:ascii="宋体" w:hAnsi="宋体"/>
                <w:color w:val="auto"/>
                <w:kern w:val="0"/>
                <w:sz w:val="24"/>
                <w:szCs w:val="22"/>
                <w:highlight w:val="none"/>
                <w:lang w:val="en-US" w:eastAsia="zh-CN"/>
              </w:rPr>
            </w:pPr>
          </w:p>
        </w:tc>
        <w:tc>
          <w:tcPr>
            <w:tcW w:w="1065" w:type="dxa"/>
            <w:noWrap w:val="0"/>
            <w:vAlign w:val="center"/>
          </w:tcPr>
          <w:p>
            <w:pPr>
              <w:jc w:val="center"/>
              <w:rPr>
                <w:rFonts w:hint="eastAsia" w:ascii="宋体" w:hAnsi="宋体"/>
                <w:color w:val="auto"/>
                <w:kern w:val="0"/>
                <w:sz w:val="24"/>
                <w:szCs w:val="22"/>
                <w:highlight w:val="none"/>
                <w:lang w:val="en-US" w:eastAsia="zh-CN"/>
              </w:rPr>
            </w:pPr>
            <w:r>
              <w:rPr>
                <w:rFonts w:hint="eastAsia" w:ascii="宋体" w:hAnsi="宋体"/>
                <w:color w:val="auto"/>
                <w:kern w:val="0"/>
                <w:sz w:val="24"/>
                <w:szCs w:val="22"/>
                <w:highlight w:val="none"/>
                <w:lang w:val="en-US" w:eastAsia="zh-CN"/>
              </w:rPr>
              <w:t>37500</w:t>
            </w:r>
          </w:p>
        </w:tc>
        <w:tc>
          <w:tcPr>
            <w:tcW w:w="900" w:type="dxa"/>
            <w:vMerge w:val="continue"/>
            <w:noWrap w:val="0"/>
            <w:vAlign w:val="center"/>
          </w:tcPr>
          <w:p>
            <w:pPr>
              <w:jc w:val="left"/>
            </w:pPr>
          </w:p>
        </w:tc>
        <w:tc>
          <w:tcPr>
            <w:tcW w:w="1034" w:type="dxa"/>
            <w:vMerge w:val="continue"/>
            <w:noWrap w:val="0"/>
            <w:vAlign w:val="center"/>
          </w:tcPr>
          <w:p>
            <w:pPr>
              <w:jc w:val="left"/>
            </w:pPr>
          </w:p>
        </w:tc>
        <w:tc>
          <w:tcPr>
            <w:tcW w:w="1271" w:type="dxa"/>
            <w:vMerge w:val="continue"/>
            <w:noWrap w:val="0"/>
            <w:vAlign w:val="center"/>
          </w:tcPr>
          <w:p>
            <w:pPr>
              <w:jc w:val="left"/>
            </w:pP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exact"/>
          <w:jc w:val="center"/>
        </w:trPr>
        <w:tc>
          <w:tcPr>
            <w:tcW w:w="556" w:type="dxa"/>
            <w:vMerge w:val="continue"/>
            <w:noWrap w:val="0"/>
            <w:vAlign w:val="center"/>
          </w:tcPr>
          <w:p>
            <w:pPr>
              <w:jc w:val="left"/>
              <w:rPr>
                <w:rFonts w:hint="eastAsia" w:ascii="宋体" w:hAnsi="宋体"/>
                <w:color w:val="auto"/>
                <w:kern w:val="0"/>
                <w:sz w:val="24"/>
                <w:highlight w:val="none"/>
              </w:rPr>
            </w:pPr>
          </w:p>
        </w:tc>
        <w:tc>
          <w:tcPr>
            <w:tcW w:w="1904" w:type="dxa"/>
            <w:vMerge w:val="continue"/>
            <w:noWrap w:val="0"/>
            <w:vAlign w:val="center"/>
          </w:tcPr>
          <w:p>
            <w:pPr>
              <w:jc w:val="left"/>
              <w:rPr>
                <w:rFonts w:hint="eastAsia" w:ascii="宋体" w:hAnsi="宋体"/>
                <w:color w:val="auto"/>
                <w:kern w:val="0"/>
                <w:sz w:val="24"/>
                <w:highlight w:val="none"/>
              </w:rPr>
            </w:pPr>
          </w:p>
        </w:tc>
        <w:tc>
          <w:tcPr>
            <w:tcW w:w="2283" w:type="dxa"/>
            <w:vMerge w:val="continue"/>
            <w:noWrap w:val="0"/>
            <w:vAlign w:val="center"/>
          </w:tcPr>
          <w:p>
            <w:pPr>
              <w:jc w:val="left"/>
              <w:rPr>
                <w:rFonts w:hint="eastAsia" w:ascii="宋体" w:hAnsi="宋体"/>
                <w:color w:val="auto"/>
                <w:kern w:val="0"/>
                <w:sz w:val="24"/>
                <w:highlight w:val="none"/>
              </w:rPr>
            </w:pPr>
          </w:p>
        </w:tc>
        <w:tc>
          <w:tcPr>
            <w:tcW w:w="946" w:type="dxa"/>
            <w:noWrap w:val="0"/>
            <w:vAlign w:val="center"/>
          </w:tcPr>
          <w:p>
            <w:pPr>
              <w:jc w:val="center"/>
              <w:rPr>
                <w:rFonts w:hint="eastAsia" w:ascii="宋体" w:hAnsi="宋体"/>
                <w:color w:val="auto"/>
                <w:kern w:val="0"/>
                <w:sz w:val="24"/>
                <w:szCs w:val="22"/>
                <w:highlight w:val="none"/>
                <w:lang w:val="en-US" w:eastAsia="zh-CN"/>
              </w:rPr>
            </w:pPr>
          </w:p>
        </w:tc>
        <w:tc>
          <w:tcPr>
            <w:tcW w:w="1309" w:type="dxa"/>
            <w:noWrap w:val="0"/>
            <w:vAlign w:val="center"/>
          </w:tcPr>
          <w:p>
            <w:pPr>
              <w:jc w:val="center"/>
              <w:rPr>
                <w:rFonts w:hint="eastAsia" w:ascii="宋体" w:hAnsi="宋体"/>
                <w:color w:val="auto"/>
                <w:kern w:val="0"/>
                <w:sz w:val="24"/>
                <w:szCs w:val="22"/>
                <w:highlight w:val="none"/>
                <w:lang w:val="en-US" w:eastAsia="zh-CN"/>
              </w:rPr>
            </w:pPr>
          </w:p>
        </w:tc>
        <w:tc>
          <w:tcPr>
            <w:tcW w:w="1065" w:type="dxa"/>
            <w:noWrap w:val="0"/>
            <w:vAlign w:val="center"/>
          </w:tcPr>
          <w:p>
            <w:pPr>
              <w:jc w:val="center"/>
              <w:rPr>
                <w:rFonts w:hint="eastAsia" w:ascii="宋体" w:hAnsi="宋体"/>
                <w:color w:val="auto"/>
                <w:kern w:val="0"/>
                <w:sz w:val="24"/>
                <w:szCs w:val="22"/>
                <w:highlight w:val="none"/>
                <w:lang w:val="en-US" w:eastAsia="zh-CN"/>
              </w:rPr>
            </w:pPr>
            <w:r>
              <w:rPr>
                <w:rFonts w:hint="eastAsia" w:ascii="宋体" w:hAnsi="宋体"/>
                <w:color w:val="auto"/>
                <w:kern w:val="0"/>
                <w:sz w:val="24"/>
                <w:szCs w:val="22"/>
                <w:highlight w:val="none"/>
                <w:lang w:val="en-US" w:eastAsia="zh-CN"/>
              </w:rPr>
              <w:t>356000</w:t>
            </w:r>
          </w:p>
        </w:tc>
        <w:tc>
          <w:tcPr>
            <w:tcW w:w="900" w:type="dxa"/>
            <w:vMerge w:val="continue"/>
            <w:noWrap w:val="0"/>
            <w:vAlign w:val="center"/>
          </w:tcPr>
          <w:p>
            <w:pPr>
              <w:jc w:val="left"/>
              <w:rPr>
                <w:rFonts w:hint="eastAsia" w:ascii="宋体" w:hAnsi="宋体"/>
                <w:color w:val="auto"/>
                <w:kern w:val="0"/>
                <w:sz w:val="24"/>
                <w:highlight w:val="none"/>
              </w:rPr>
            </w:pPr>
          </w:p>
        </w:tc>
        <w:tc>
          <w:tcPr>
            <w:tcW w:w="1034" w:type="dxa"/>
            <w:vMerge w:val="continue"/>
            <w:noWrap w:val="0"/>
            <w:vAlign w:val="center"/>
          </w:tcPr>
          <w:p>
            <w:pPr>
              <w:jc w:val="left"/>
              <w:rPr>
                <w:rFonts w:hint="eastAsia" w:ascii="宋体" w:hAnsi="宋体"/>
                <w:color w:val="auto"/>
                <w:kern w:val="0"/>
                <w:sz w:val="24"/>
                <w:highlight w:val="none"/>
              </w:rPr>
            </w:pPr>
          </w:p>
        </w:tc>
        <w:tc>
          <w:tcPr>
            <w:tcW w:w="1271" w:type="dxa"/>
            <w:vMerge w:val="continue"/>
            <w:noWrap w:val="0"/>
            <w:vAlign w:val="center"/>
          </w:tcPr>
          <w:p>
            <w:pPr>
              <w:jc w:val="left"/>
              <w:rPr>
                <w:rFonts w:hint="eastAsia" w:ascii="宋体" w:hAnsi="宋体"/>
                <w:color w:val="auto"/>
                <w:kern w:val="0"/>
                <w:sz w:val="24"/>
                <w:highlight w:val="none"/>
              </w:rPr>
            </w:pP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exact"/>
          <w:jc w:val="center"/>
        </w:trPr>
        <w:tc>
          <w:tcPr>
            <w:tcW w:w="556" w:type="dxa"/>
            <w:vMerge w:val="continue"/>
            <w:noWrap w:val="0"/>
            <w:vAlign w:val="center"/>
          </w:tcPr>
          <w:p>
            <w:pPr>
              <w:jc w:val="left"/>
              <w:rPr>
                <w:rFonts w:hint="eastAsia" w:ascii="宋体" w:hAnsi="宋体"/>
                <w:color w:val="auto"/>
                <w:kern w:val="0"/>
                <w:sz w:val="24"/>
                <w:highlight w:val="none"/>
              </w:rPr>
            </w:pPr>
          </w:p>
        </w:tc>
        <w:tc>
          <w:tcPr>
            <w:tcW w:w="1904" w:type="dxa"/>
            <w:vMerge w:val="continue"/>
            <w:noWrap w:val="0"/>
            <w:vAlign w:val="center"/>
          </w:tcPr>
          <w:p>
            <w:pPr>
              <w:jc w:val="left"/>
              <w:rPr>
                <w:rFonts w:hint="eastAsia" w:ascii="宋体" w:hAnsi="宋体"/>
                <w:color w:val="auto"/>
                <w:kern w:val="0"/>
                <w:sz w:val="24"/>
                <w:highlight w:val="none"/>
              </w:rPr>
            </w:pPr>
          </w:p>
        </w:tc>
        <w:tc>
          <w:tcPr>
            <w:tcW w:w="2283" w:type="dxa"/>
            <w:vMerge w:val="continue"/>
            <w:noWrap w:val="0"/>
            <w:vAlign w:val="center"/>
          </w:tcPr>
          <w:p>
            <w:pPr>
              <w:jc w:val="left"/>
              <w:rPr>
                <w:rFonts w:hint="eastAsia" w:ascii="宋体" w:hAnsi="宋体"/>
                <w:color w:val="auto"/>
                <w:kern w:val="0"/>
                <w:sz w:val="24"/>
                <w:highlight w:val="none"/>
              </w:rPr>
            </w:pPr>
          </w:p>
        </w:tc>
        <w:tc>
          <w:tcPr>
            <w:tcW w:w="946" w:type="dxa"/>
            <w:noWrap w:val="0"/>
            <w:vAlign w:val="center"/>
          </w:tcPr>
          <w:p>
            <w:pPr>
              <w:jc w:val="center"/>
              <w:rPr>
                <w:rFonts w:hint="eastAsia" w:ascii="宋体" w:hAnsi="宋体"/>
                <w:color w:val="auto"/>
                <w:kern w:val="0"/>
                <w:sz w:val="24"/>
                <w:szCs w:val="22"/>
                <w:highlight w:val="none"/>
                <w:lang w:val="en-US" w:eastAsia="zh-CN"/>
              </w:rPr>
            </w:pPr>
          </w:p>
        </w:tc>
        <w:tc>
          <w:tcPr>
            <w:tcW w:w="1309" w:type="dxa"/>
            <w:noWrap w:val="0"/>
            <w:vAlign w:val="center"/>
          </w:tcPr>
          <w:p>
            <w:pPr>
              <w:jc w:val="center"/>
              <w:rPr>
                <w:rFonts w:hint="eastAsia" w:ascii="宋体" w:hAnsi="宋体"/>
                <w:color w:val="auto"/>
                <w:kern w:val="0"/>
                <w:sz w:val="24"/>
                <w:szCs w:val="22"/>
                <w:highlight w:val="none"/>
                <w:lang w:val="en-US" w:eastAsia="zh-CN"/>
              </w:rPr>
            </w:pPr>
          </w:p>
        </w:tc>
        <w:tc>
          <w:tcPr>
            <w:tcW w:w="1065" w:type="dxa"/>
            <w:noWrap w:val="0"/>
            <w:vAlign w:val="center"/>
          </w:tcPr>
          <w:p>
            <w:pPr>
              <w:jc w:val="center"/>
              <w:rPr>
                <w:rFonts w:hint="eastAsia" w:ascii="宋体" w:hAnsi="宋体"/>
                <w:color w:val="auto"/>
                <w:kern w:val="0"/>
                <w:sz w:val="24"/>
                <w:szCs w:val="22"/>
                <w:highlight w:val="none"/>
                <w:lang w:val="en-US" w:eastAsia="zh-CN"/>
              </w:rPr>
            </w:pPr>
            <w:r>
              <w:rPr>
                <w:rFonts w:hint="eastAsia" w:ascii="宋体" w:hAnsi="宋体"/>
                <w:color w:val="auto"/>
                <w:kern w:val="0"/>
                <w:sz w:val="24"/>
                <w:szCs w:val="22"/>
                <w:highlight w:val="none"/>
                <w:lang w:val="en-US" w:eastAsia="zh-CN"/>
              </w:rPr>
              <w:t>356000</w:t>
            </w:r>
          </w:p>
        </w:tc>
        <w:tc>
          <w:tcPr>
            <w:tcW w:w="900" w:type="dxa"/>
            <w:vMerge w:val="continue"/>
            <w:noWrap w:val="0"/>
            <w:vAlign w:val="center"/>
          </w:tcPr>
          <w:p>
            <w:pPr>
              <w:jc w:val="left"/>
              <w:rPr>
                <w:rFonts w:hint="eastAsia" w:ascii="宋体" w:hAnsi="宋体"/>
                <w:color w:val="auto"/>
                <w:kern w:val="0"/>
                <w:sz w:val="24"/>
                <w:highlight w:val="none"/>
              </w:rPr>
            </w:pPr>
          </w:p>
        </w:tc>
        <w:tc>
          <w:tcPr>
            <w:tcW w:w="1034" w:type="dxa"/>
            <w:vMerge w:val="continue"/>
            <w:noWrap w:val="0"/>
            <w:vAlign w:val="center"/>
          </w:tcPr>
          <w:p>
            <w:pPr>
              <w:jc w:val="left"/>
              <w:rPr>
                <w:rFonts w:hint="eastAsia" w:ascii="宋体" w:hAnsi="宋体"/>
                <w:color w:val="auto"/>
                <w:kern w:val="0"/>
                <w:sz w:val="24"/>
                <w:highlight w:val="none"/>
              </w:rPr>
            </w:pPr>
          </w:p>
        </w:tc>
        <w:tc>
          <w:tcPr>
            <w:tcW w:w="1271" w:type="dxa"/>
            <w:vMerge w:val="continue"/>
            <w:noWrap w:val="0"/>
            <w:vAlign w:val="center"/>
          </w:tcPr>
          <w:p>
            <w:pPr>
              <w:jc w:val="left"/>
              <w:rPr>
                <w:rFonts w:hint="eastAsia" w:ascii="宋体" w:hAnsi="宋体"/>
                <w:color w:val="auto"/>
                <w:kern w:val="0"/>
                <w:sz w:val="24"/>
                <w:highlight w:val="none"/>
              </w:rPr>
            </w:pPr>
          </w:p>
        </w:tc>
        <w:tc>
          <w:tcPr>
            <w:tcW w:w="2861" w:type="dxa"/>
            <w:noWrap w:val="0"/>
            <w:vAlign w:val="center"/>
          </w:tcPr>
          <w:p>
            <w:pPr>
              <w:jc w:val="left"/>
              <w:rPr>
                <w:rFonts w:hint="eastAsia" w:ascii="宋体" w:hAnsi="宋体"/>
                <w:color w:val="auto"/>
                <w:kern w:val="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556" w:type="dxa"/>
            <w:vMerge w:val="restart"/>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8</w:t>
            </w:r>
          </w:p>
        </w:tc>
        <w:tc>
          <w:tcPr>
            <w:tcW w:w="1904"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宁夏金昱元能源化学有限公司</w:t>
            </w:r>
          </w:p>
        </w:tc>
        <w:tc>
          <w:tcPr>
            <w:tcW w:w="2283" w:type="dxa"/>
            <w:vMerge w:val="restart"/>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rPr>
              <w:t>青铜峡市青镇居委会余桥路余桥村</w:t>
            </w:r>
          </w:p>
        </w:tc>
        <w:tc>
          <w:tcPr>
            <w:tcW w:w="946" w:type="dxa"/>
            <w:noWrap w:val="0"/>
            <w:vAlign w:val="center"/>
          </w:tcPr>
          <w:p>
            <w:pPr>
              <w:jc w:val="center"/>
              <w:rPr>
                <w:rFonts w:hint="eastAsia" w:ascii="宋体" w:hAnsi="宋体" w:eastAsia="宋体"/>
                <w:color w:val="auto"/>
                <w:kern w:val="0"/>
                <w:sz w:val="24"/>
                <w:highlight w:val="none"/>
                <w:lang w:val="en-US" w:eastAsia="zh-CN"/>
              </w:rPr>
            </w:pPr>
          </w:p>
        </w:tc>
        <w:tc>
          <w:tcPr>
            <w:tcW w:w="1309" w:type="dxa"/>
            <w:noWrap w:val="0"/>
            <w:vAlign w:val="center"/>
          </w:tcPr>
          <w:p>
            <w:pPr>
              <w:jc w:val="center"/>
              <w:rPr>
                <w:rFonts w:hint="eastAsia" w:ascii="宋体" w:hAnsi="宋体" w:eastAsia="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8800</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eastAsia="宋体"/>
                <w:color w:val="auto"/>
                <w:kern w:val="0"/>
                <w:sz w:val="24"/>
                <w:highlight w:val="none"/>
                <w:lang w:eastAsia="zh-CN"/>
              </w:rPr>
            </w:pPr>
          </w:p>
        </w:tc>
        <w:tc>
          <w:tcPr>
            <w:tcW w:w="1271" w:type="dxa"/>
            <w:vMerge w:val="restart"/>
            <w:noWrap w:val="0"/>
            <w:vAlign w:val="center"/>
          </w:tcPr>
          <w:p>
            <w:pPr>
              <w:jc w:val="center"/>
              <w:rPr>
                <w:rFonts w:hint="eastAsia" w:ascii="宋体" w:hAnsi="宋体"/>
                <w:color w:val="auto"/>
                <w:kern w:val="0"/>
                <w:sz w:val="24"/>
                <w:szCs w:val="22"/>
                <w:highlight w:val="none"/>
                <w:lang w:val="en-US" w:eastAsia="zh-CN"/>
              </w:rPr>
            </w:pPr>
            <w:r>
              <w:rPr>
                <w:rFonts w:hint="eastAsia" w:ascii="宋体" w:hAnsi="宋体"/>
                <w:color w:val="auto"/>
                <w:kern w:val="0"/>
                <w:sz w:val="24"/>
                <w:szCs w:val="22"/>
                <w:highlight w:val="none"/>
                <w:lang w:eastAsia="zh-CN"/>
              </w:rPr>
              <w:t>二级</w:t>
            </w: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556" w:type="dxa"/>
            <w:vMerge w:val="continue"/>
            <w:noWrap w:val="0"/>
            <w:vAlign w:val="center"/>
          </w:tcPr>
          <w:p>
            <w:pPr>
              <w:jc w:val="center"/>
              <w:rPr>
                <w:color w:val="auto"/>
                <w:highlight w:val="none"/>
              </w:rPr>
            </w:pPr>
          </w:p>
        </w:tc>
        <w:tc>
          <w:tcPr>
            <w:tcW w:w="1904" w:type="dxa"/>
            <w:vMerge w:val="continue"/>
            <w:noWrap w:val="0"/>
            <w:vAlign w:val="center"/>
          </w:tcPr>
          <w:p>
            <w:pPr>
              <w:jc w:val="center"/>
              <w:rPr>
                <w:color w:val="auto"/>
                <w:highlight w:val="none"/>
              </w:rPr>
            </w:pPr>
          </w:p>
        </w:tc>
        <w:tc>
          <w:tcPr>
            <w:tcW w:w="2283" w:type="dxa"/>
            <w:vMerge w:val="continue"/>
            <w:noWrap w:val="0"/>
            <w:vAlign w:val="center"/>
          </w:tcPr>
          <w:p>
            <w:pPr>
              <w:jc w:val="center"/>
              <w:rPr>
                <w:color w:val="auto"/>
                <w:highlight w:val="none"/>
              </w:rPr>
            </w:pPr>
          </w:p>
        </w:tc>
        <w:tc>
          <w:tcPr>
            <w:tcW w:w="946" w:type="dxa"/>
            <w:noWrap w:val="0"/>
            <w:vAlign w:val="center"/>
          </w:tcPr>
          <w:p>
            <w:pPr>
              <w:jc w:val="center"/>
              <w:rPr>
                <w:rFonts w:hint="eastAsia" w:ascii="宋体" w:hAnsi="宋体" w:eastAsia="宋体"/>
                <w:color w:val="auto"/>
                <w:kern w:val="0"/>
                <w:sz w:val="24"/>
                <w:highlight w:val="none"/>
                <w:lang w:val="en-US" w:eastAsia="zh-CN"/>
              </w:rPr>
            </w:pPr>
          </w:p>
        </w:tc>
        <w:tc>
          <w:tcPr>
            <w:tcW w:w="1309" w:type="dxa"/>
            <w:noWrap w:val="0"/>
            <w:vAlign w:val="center"/>
          </w:tcPr>
          <w:p>
            <w:pPr>
              <w:jc w:val="center"/>
              <w:rPr>
                <w:rFonts w:hint="eastAsia" w:ascii="宋体" w:hAnsi="宋体" w:eastAsia="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7250</w:t>
            </w:r>
          </w:p>
        </w:tc>
        <w:tc>
          <w:tcPr>
            <w:tcW w:w="900" w:type="dxa"/>
            <w:vMerge w:val="continue"/>
            <w:noWrap w:val="0"/>
            <w:vAlign w:val="center"/>
          </w:tcPr>
          <w:p>
            <w:pPr>
              <w:jc w:val="center"/>
              <w:rPr>
                <w:rFonts w:hint="eastAsia" w:ascii="宋体" w:hAnsi="宋体"/>
                <w:color w:val="auto"/>
                <w:kern w:val="0"/>
                <w:sz w:val="24"/>
                <w:highlight w:val="none"/>
              </w:rPr>
            </w:pPr>
          </w:p>
        </w:tc>
        <w:tc>
          <w:tcPr>
            <w:tcW w:w="1034" w:type="dxa"/>
            <w:vMerge w:val="continue"/>
            <w:noWrap w:val="0"/>
            <w:vAlign w:val="center"/>
          </w:tcPr>
          <w:p>
            <w:pPr>
              <w:jc w:val="center"/>
              <w:rPr>
                <w:rFonts w:hint="eastAsia" w:ascii="宋体" w:hAnsi="宋体"/>
                <w:color w:val="auto"/>
                <w:kern w:val="0"/>
                <w:sz w:val="24"/>
                <w:highlight w:val="none"/>
              </w:rPr>
            </w:pPr>
          </w:p>
        </w:tc>
        <w:tc>
          <w:tcPr>
            <w:tcW w:w="1271" w:type="dxa"/>
            <w:vMerge w:val="continue"/>
            <w:noWrap w:val="0"/>
            <w:vAlign w:val="center"/>
          </w:tcPr>
          <w:p>
            <w:pPr>
              <w:jc w:val="center"/>
              <w:rPr>
                <w:rFonts w:hint="eastAsia" w:ascii="宋体" w:hAnsi="宋体"/>
                <w:color w:val="auto"/>
                <w:kern w:val="0"/>
                <w:sz w:val="24"/>
                <w:highlight w:val="none"/>
              </w:rPr>
            </w:pP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4" w:hRule="atLeast"/>
          <w:jc w:val="center"/>
        </w:trPr>
        <w:tc>
          <w:tcPr>
            <w:tcW w:w="556" w:type="dxa"/>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9</w:t>
            </w:r>
          </w:p>
        </w:tc>
        <w:tc>
          <w:tcPr>
            <w:tcW w:w="1904" w:type="dxa"/>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青铜峡市利源工贸有限公司</w:t>
            </w:r>
          </w:p>
        </w:tc>
        <w:tc>
          <w:tcPr>
            <w:tcW w:w="2283" w:type="dxa"/>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rPr>
              <w:t>青铜峡市新材料基地工业园区</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15000</w:t>
            </w:r>
          </w:p>
        </w:tc>
        <w:tc>
          <w:tcPr>
            <w:tcW w:w="900" w:type="dxa"/>
            <w:noWrap w:val="0"/>
            <w:vAlign w:val="center"/>
          </w:tcPr>
          <w:p>
            <w:pPr>
              <w:jc w:val="center"/>
              <w:rPr>
                <w:rFonts w:hint="eastAsia" w:ascii="宋体" w:hAnsi="宋体" w:eastAsia="宋体"/>
                <w:color w:val="auto"/>
                <w:kern w:val="0"/>
                <w:sz w:val="24"/>
                <w:highlight w:val="none"/>
                <w:lang w:val="en-US" w:eastAsia="zh-CN"/>
              </w:rPr>
            </w:pPr>
          </w:p>
        </w:tc>
        <w:tc>
          <w:tcPr>
            <w:tcW w:w="1034" w:type="dxa"/>
            <w:noWrap w:val="0"/>
            <w:vAlign w:val="center"/>
          </w:tcPr>
          <w:p>
            <w:pPr>
              <w:jc w:val="center"/>
              <w:rPr>
                <w:rFonts w:hint="eastAsia" w:ascii="宋体" w:hAnsi="宋体" w:eastAsia="宋体"/>
                <w:color w:val="auto"/>
                <w:kern w:val="0"/>
                <w:sz w:val="24"/>
                <w:highlight w:val="none"/>
                <w:lang w:eastAsia="zh-CN"/>
              </w:rPr>
            </w:pPr>
          </w:p>
        </w:tc>
        <w:tc>
          <w:tcPr>
            <w:tcW w:w="1271" w:type="dxa"/>
            <w:noWrap w:val="0"/>
            <w:vAlign w:val="center"/>
          </w:tcPr>
          <w:p>
            <w:pPr>
              <w:jc w:val="center"/>
              <w:rPr>
                <w:rFonts w:hint="eastAsia" w:ascii="宋体" w:hAnsi="宋体"/>
                <w:color w:val="auto"/>
                <w:kern w:val="0"/>
                <w:sz w:val="24"/>
                <w:highlight w:val="none"/>
              </w:rPr>
            </w:pPr>
            <w:r>
              <w:rPr>
                <w:rFonts w:hint="eastAsia" w:ascii="宋体" w:hAnsi="宋体"/>
                <w:color w:val="auto"/>
                <w:kern w:val="0"/>
                <w:sz w:val="24"/>
                <w:highlight w:val="none"/>
                <w:lang w:eastAsia="zh-CN"/>
              </w:rPr>
              <w:t>二级</w:t>
            </w: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restart"/>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10</w:t>
            </w:r>
          </w:p>
        </w:tc>
        <w:tc>
          <w:tcPr>
            <w:tcW w:w="1904"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宁夏瑞科新源化工有限公司</w:t>
            </w:r>
          </w:p>
        </w:tc>
        <w:tc>
          <w:tcPr>
            <w:tcW w:w="2283" w:type="dxa"/>
            <w:vMerge w:val="restart"/>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rPr>
              <w:t>吴忠市红寺堡县太阳山经济开发区</w:t>
            </w:r>
          </w:p>
        </w:tc>
        <w:tc>
          <w:tcPr>
            <w:tcW w:w="946" w:type="dxa"/>
            <w:noWrap w:val="0"/>
            <w:vAlign w:val="center"/>
          </w:tcPr>
          <w:p>
            <w:pPr>
              <w:jc w:val="center"/>
              <w:rPr>
                <w:rFonts w:hint="eastAsia" w:ascii="宋体" w:hAnsi="宋体"/>
                <w:color w:val="auto"/>
                <w:kern w:val="0"/>
                <w:sz w:val="24"/>
                <w:szCs w:val="22"/>
                <w:highlight w:val="none"/>
                <w:lang w:val="en-US" w:eastAsia="zh-CN"/>
              </w:rPr>
            </w:pPr>
          </w:p>
        </w:tc>
        <w:tc>
          <w:tcPr>
            <w:tcW w:w="1309" w:type="dxa"/>
            <w:noWrap w:val="0"/>
            <w:vAlign w:val="center"/>
          </w:tcPr>
          <w:p>
            <w:pPr>
              <w:jc w:val="center"/>
              <w:rPr>
                <w:rFonts w:hint="eastAsia" w:ascii="宋体" w:hAnsi="宋体"/>
                <w:color w:val="auto"/>
                <w:kern w:val="0"/>
                <w:sz w:val="24"/>
                <w:szCs w:val="22"/>
                <w:highlight w:val="none"/>
                <w:lang w:val="en-US" w:eastAsia="zh-CN"/>
              </w:rPr>
            </w:pPr>
          </w:p>
        </w:tc>
        <w:tc>
          <w:tcPr>
            <w:tcW w:w="1065" w:type="dxa"/>
            <w:noWrap w:val="0"/>
            <w:vAlign w:val="center"/>
          </w:tcPr>
          <w:p>
            <w:pPr>
              <w:jc w:val="center"/>
              <w:rPr>
                <w:rFonts w:hint="eastAsia" w:ascii="宋体" w:hAnsi="宋体" w:eastAsia="宋体"/>
                <w:color w:val="auto"/>
                <w:kern w:val="0"/>
                <w:sz w:val="24"/>
                <w:szCs w:val="22"/>
                <w:highlight w:val="none"/>
                <w:lang w:val="en-US" w:eastAsia="zh-CN"/>
              </w:rPr>
            </w:pPr>
            <w:r>
              <w:rPr>
                <w:rFonts w:hint="eastAsia" w:ascii="宋体" w:hAnsi="宋体"/>
                <w:color w:val="auto"/>
                <w:kern w:val="0"/>
                <w:sz w:val="24"/>
                <w:szCs w:val="22"/>
                <w:highlight w:val="none"/>
                <w:lang w:val="en-US" w:eastAsia="zh-CN"/>
              </w:rPr>
              <w:t>16050</w:t>
            </w:r>
          </w:p>
        </w:tc>
        <w:tc>
          <w:tcPr>
            <w:tcW w:w="900" w:type="dxa"/>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eastAsia="宋体"/>
                <w:color w:val="auto"/>
                <w:kern w:val="0"/>
                <w:sz w:val="24"/>
                <w:highlight w:val="none"/>
                <w:lang w:eastAsia="zh-CN"/>
              </w:rPr>
            </w:pPr>
          </w:p>
        </w:tc>
        <w:tc>
          <w:tcPr>
            <w:tcW w:w="1271" w:type="dxa"/>
            <w:vMerge w:val="restart"/>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eastAsia="zh-CN"/>
              </w:rPr>
              <w:t>二级</w:t>
            </w: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continue"/>
            <w:noWrap w:val="0"/>
            <w:vAlign w:val="center"/>
          </w:tcPr>
          <w:p>
            <w:pPr>
              <w:jc w:val="center"/>
              <w:rPr>
                <w:rFonts w:hint="eastAsia" w:ascii="宋体" w:hAnsi="宋体"/>
                <w:color w:val="auto"/>
                <w:kern w:val="0"/>
                <w:sz w:val="24"/>
                <w:highlight w:val="none"/>
              </w:rPr>
            </w:pPr>
          </w:p>
        </w:tc>
        <w:tc>
          <w:tcPr>
            <w:tcW w:w="1904" w:type="dxa"/>
            <w:vMerge w:val="continue"/>
            <w:noWrap w:val="0"/>
            <w:vAlign w:val="center"/>
          </w:tcPr>
          <w:p>
            <w:pPr>
              <w:jc w:val="center"/>
              <w:rPr>
                <w:rFonts w:hint="eastAsia" w:ascii="宋体" w:hAnsi="宋体"/>
                <w:color w:val="auto"/>
                <w:kern w:val="0"/>
                <w:sz w:val="24"/>
                <w:highlight w:val="none"/>
              </w:rPr>
            </w:pPr>
          </w:p>
        </w:tc>
        <w:tc>
          <w:tcPr>
            <w:tcW w:w="2283" w:type="dxa"/>
            <w:vMerge w:val="continue"/>
            <w:noWrap w:val="0"/>
            <w:vAlign w:val="center"/>
          </w:tcPr>
          <w:p>
            <w:pPr>
              <w:jc w:val="center"/>
              <w:rPr>
                <w:rFonts w:hint="eastAsia" w:ascii="宋体" w:hAnsi="宋体"/>
                <w:color w:val="auto"/>
                <w:kern w:val="0"/>
                <w:sz w:val="24"/>
                <w:highlight w:val="none"/>
              </w:rPr>
            </w:pPr>
          </w:p>
        </w:tc>
        <w:tc>
          <w:tcPr>
            <w:tcW w:w="946" w:type="dxa"/>
            <w:noWrap w:val="0"/>
            <w:vAlign w:val="center"/>
          </w:tcPr>
          <w:p>
            <w:pPr>
              <w:jc w:val="center"/>
              <w:rPr>
                <w:rFonts w:hint="eastAsia" w:ascii="宋体" w:hAnsi="宋体"/>
                <w:color w:val="auto"/>
                <w:kern w:val="0"/>
                <w:sz w:val="24"/>
                <w:szCs w:val="22"/>
                <w:highlight w:val="none"/>
                <w:lang w:val="en-US" w:eastAsia="zh-CN"/>
              </w:rPr>
            </w:pPr>
          </w:p>
        </w:tc>
        <w:tc>
          <w:tcPr>
            <w:tcW w:w="1309" w:type="dxa"/>
            <w:noWrap w:val="0"/>
            <w:vAlign w:val="center"/>
          </w:tcPr>
          <w:p>
            <w:pPr>
              <w:jc w:val="center"/>
              <w:rPr>
                <w:rFonts w:hint="eastAsia" w:ascii="宋体" w:hAnsi="宋体"/>
                <w:color w:val="auto"/>
                <w:kern w:val="0"/>
                <w:sz w:val="24"/>
                <w:szCs w:val="22"/>
                <w:highlight w:val="none"/>
                <w:lang w:val="en-US" w:eastAsia="zh-CN"/>
              </w:rPr>
            </w:pPr>
          </w:p>
        </w:tc>
        <w:tc>
          <w:tcPr>
            <w:tcW w:w="1065" w:type="dxa"/>
            <w:noWrap w:val="0"/>
            <w:vAlign w:val="center"/>
          </w:tcPr>
          <w:p>
            <w:pPr>
              <w:jc w:val="center"/>
              <w:rPr>
                <w:rFonts w:hint="eastAsia" w:ascii="宋体" w:hAnsi="宋体" w:eastAsia="宋体"/>
                <w:color w:val="auto"/>
                <w:kern w:val="0"/>
                <w:sz w:val="24"/>
                <w:szCs w:val="22"/>
                <w:highlight w:val="none"/>
                <w:lang w:val="en-US" w:eastAsia="zh-CN"/>
              </w:rPr>
            </w:pPr>
            <w:r>
              <w:rPr>
                <w:rFonts w:hint="eastAsia" w:ascii="宋体" w:hAnsi="宋体"/>
                <w:color w:val="auto"/>
                <w:kern w:val="0"/>
                <w:sz w:val="24"/>
                <w:szCs w:val="22"/>
                <w:highlight w:val="none"/>
                <w:lang w:val="en-US" w:eastAsia="zh-CN"/>
              </w:rPr>
              <w:t>630</w:t>
            </w:r>
          </w:p>
        </w:tc>
        <w:tc>
          <w:tcPr>
            <w:tcW w:w="900" w:type="dxa"/>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continue"/>
            <w:noWrap w:val="0"/>
            <w:vAlign w:val="center"/>
          </w:tcPr>
          <w:p>
            <w:pPr>
              <w:jc w:val="center"/>
              <w:rPr>
                <w:rFonts w:hint="eastAsia" w:ascii="宋体" w:hAnsi="宋体"/>
                <w:color w:val="auto"/>
                <w:kern w:val="0"/>
                <w:sz w:val="24"/>
                <w:highlight w:val="none"/>
              </w:rPr>
            </w:pPr>
          </w:p>
        </w:tc>
        <w:tc>
          <w:tcPr>
            <w:tcW w:w="1271" w:type="dxa"/>
            <w:vMerge w:val="continue"/>
            <w:noWrap w:val="0"/>
            <w:vAlign w:val="center"/>
          </w:tcPr>
          <w:p>
            <w:pPr>
              <w:jc w:val="center"/>
              <w:rPr>
                <w:rFonts w:hint="eastAsia" w:ascii="宋体" w:hAnsi="宋体"/>
                <w:color w:val="auto"/>
                <w:kern w:val="0"/>
                <w:sz w:val="24"/>
                <w:highlight w:val="none"/>
              </w:rPr>
            </w:pP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 w:hRule="atLeast"/>
          <w:jc w:val="center"/>
        </w:trPr>
        <w:tc>
          <w:tcPr>
            <w:tcW w:w="556" w:type="dxa"/>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11</w:t>
            </w:r>
          </w:p>
        </w:tc>
        <w:tc>
          <w:tcPr>
            <w:tcW w:w="1904" w:type="dxa"/>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宁夏瑞科化工有限公司</w:t>
            </w:r>
          </w:p>
        </w:tc>
        <w:tc>
          <w:tcPr>
            <w:tcW w:w="2283" w:type="dxa"/>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rPr>
              <w:t>吴忠市红寺堡县太阳山经济开发区白疙瘩村白疙瘩一队</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32000</w:t>
            </w:r>
          </w:p>
        </w:tc>
        <w:tc>
          <w:tcPr>
            <w:tcW w:w="900" w:type="dxa"/>
            <w:noWrap w:val="0"/>
            <w:vAlign w:val="center"/>
          </w:tcPr>
          <w:p>
            <w:pPr>
              <w:jc w:val="center"/>
              <w:rPr>
                <w:rFonts w:hint="eastAsia" w:ascii="宋体" w:hAnsi="宋体" w:eastAsia="宋体"/>
                <w:color w:val="auto"/>
                <w:kern w:val="0"/>
                <w:sz w:val="24"/>
                <w:highlight w:val="none"/>
                <w:lang w:val="en-US" w:eastAsia="zh-CN"/>
              </w:rPr>
            </w:pPr>
          </w:p>
        </w:tc>
        <w:tc>
          <w:tcPr>
            <w:tcW w:w="1034" w:type="dxa"/>
            <w:noWrap w:val="0"/>
            <w:vAlign w:val="center"/>
          </w:tcPr>
          <w:p>
            <w:pPr>
              <w:jc w:val="center"/>
              <w:rPr>
                <w:rFonts w:hint="eastAsia" w:ascii="宋体" w:hAnsi="宋体" w:eastAsia="宋体"/>
                <w:color w:val="auto"/>
                <w:kern w:val="0"/>
                <w:sz w:val="24"/>
                <w:highlight w:val="none"/>
                <w:lang w:eastAsia="zh-CN"/>
              </w:rPr>
            </w:pPr>
          </w:p>
        </w:tc>
        <w:tc>
          <w:tcPr>
            <w:tcW w:w="1271" w:type="dxa"/>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二级</w:t>
            </w: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restart"/>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12</w:t>
            </w:r>
          </w:p>
        </w:tc>
        <w:tc>
          <w:tcPr>
            <w:tcW w:w="1904"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宁夏鹏旭环保科技有限公司</w:t>
            </w:r>
          </w:p>
        </w:tc>
        <w:tc>
          <w:tcPr>
            <w:tcW w:w="2283" w:type="dxa"/>
            <w:vMerge w:val="restart"/>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rPr>
              <w:t>红寺堡县太阳山经济开发区</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2550</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eastAsia="宋体"/>
                <w:color w:val="auto"/>
                <w:kern w:val="0"/>
                <w:sz w:val="24"/>
                <w:highlight w:val="none"/>
                <w:lang w:eastAsia="zh-CN"/>
              </w:rPr>
            </w:pPr>
          </w:p>
        </w:tc>
        <w:tc>
          <w:tcPr>
            <w:tcW w:w="1271"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二级</w:t>
            </w: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continue"/>
            <w:noWrap w:val="0"/>
            <w:vAlign w:val="center"/>
          </w:tcPr>
          <w:p>
            <w:pPr>
              <w:jc w:val="center"/>
              <w:rPr>
                <w:rFonts w:hint="eastAsia" w:ascii="宋体" w:hAnsi="宋体"/>
                <w:color w:val="auto"/>
                <w:kern w:val="0"/>
                <w:sz w:val="24"/>
                <w:highlight w:val="none"/>
              </w:rPr>
            </w:pPr>
          </w:p>
        </w:tc>
        <w:tc>
          <w:tcPr>
            <w:tcW w:w="1904" w:type="dxa"/>
            <w:vMerge w:val="continue"/>
            <w:noWrap w:val="0"/>
            <w:vAlign w:val="center"/>
          </w:tcPr>
          <w:p>
            <w:pPr>
              <w:jc w:val="center"/>
              <w:rPr>
                <w:rFonts w:hint="eastAsia" w:ascii="宋体" w:hAnsi="宋体"/>
                <w:color w:val="auto"/>
                <w:kern w:val="0"/>
                <w:sz w:val="24"/>
                <w:highlight w:val="none"/>
              </w:rPr>
            </w:pPr>
          </w:p>
        </w:tc>
        <w:tc>
          <w:tcPr>
            <w:tcW w:w="2283" w:type="dxa"/>
            <w:vMerge w:val="continue"/>
            <w:noWrap w:val="0"/>
            <w:vAlign w:val="center"/>
          </w:tcPr>
          <w:p>
            <w:pPr>
              <w:jc w:val="center"/>
              <w:rPr>
                <w:rFonts w:hint="eastAsia" w:ascii="宋体" w:hAnsi="宋体"/>
                <w:color w:val="auto"/>
                <w:kern w:val="0"/>
                <w:sz w:val="24"/>
                <w:highlight w:val="none"/>
              </w:rPr>
            </w:pP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250</w:t>
            </w:r>
          </w:p>
        </w:tc>
        <w:tc>
          <w:tcPr>
            <w:tcW w:w="900" w:type="dxa"/>
            <w:vMerge w:val="continue"/>
            <w:noWrap w:val="0"/>
            <w:vAlign w:val="center"/>
          </w:tcPr>
          <w:p>
            <w:pPr>
              <w:jc w:val="center"/>
              <w:rPr>
                <w:rFonts w:hint="eastAsia" w:ascii="宋体" w:hAnsi="宋体"/>
                <w:color w:val="auto"/>
                <w:kern w:val="0"/>
                <w:sz w:val="24"/>
                <w:highlight w:val="none"/>
              </w:rPr>
            </w:pPr>
          </w:p>
        </w:tc>
        <w:tc>
          <w:tcPr>
            <w:tcW w:w="1034" w:type="dxa"/>
            <w:vMerge w:val="continue"/>
            <w:noWrap w:val="0"/>
            <w:vAlign w:val="center"/>
          </w:tcPr>
          <w:p>
            <w:pPr>
              <w:jc w:val="center"/>
              <w:rPr>
                <w:rFonts w:hint="eastAsia" w:ascii="宋体" w:hAnsi="宋体"/>
                <w:color w:val="auto"/>
                <w:kern w:val="0"/>
                <w:sz w:val="24"/>
                <w:highlight w:val="none"/>
              </w:rPr>
            </w:pPr>
          </w:p>
        </w:tc>
        <w:tc>
          <w:tcPr>
            <w:tcW w:w="1271" w:type="dxa"/>
            <w:vMerge w:val="continue"/>
            <w:noWrap w:val="0"/>
            <w:vAlign w:val="center"/>
          </w:tcPr>
          <w:p>
            <w:pPr>
              <w:jc w:val="center"/>
              <w:rPr>
                <w:rFonts w:hint="eastAsia" w:ascii="宋体" w:hAnsi="宋体"/>
                <w:color w:val="auto"/>
                <w:kern w:val="0"/>
                <w:sz w:val="24"/>
                <w:highlight w:val="none"/>
              </w:rPr>
            </w:pP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jc w:val="center"/>
        </w:trPr>
        <w:tc>
          <w:tcPr>
            <w:tcW w:w="556" w:type="dxa"/>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13</w:t>
            </w:r>
          </w:p>
        </w:tc>
        <w:tc>
          <w:tcPr>
            <w:tcW w:w="1904" w:type="dxa"/>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吴忠市通达煤化工有限公司</w:t>
            </w:r>
          </w:p>
        </w:tc>
        <w:tc>
          <w:tcPr>
            <w:tcW w:w="2283" w:type="dxa"/>
            <w:noWrap w:val="0"/>
            <w:vAlign w:val="center"/>
          </w:tcPr>
          <w:p>
            <w:pPr>
              <w:jc w:val="center"/>
              <w:rPr>
                <w:rFonts w:hint="eastAsia" w:ascii="宋体" w:hAnsi="宋体"/>
                <w:color w:val="auto"/>
                <w:kern w:val="0"/>
                <w:sz w:val="24"/>
                <w:highlight w:val="none"/>
              </w:rPr>
            </w:pPr>
            <w:r>
              <w:rPr>
                <w:rFonts w:hint="eastAsia" w:ascii="宋体" w:hAnsi="宋体"/>
                <w:color w:val="auto"/>
                <w:kern w:val="0"/>
                <w:sz w:val="24"/>
                <w:highlight w:val="none"/>
              </w:rPr>
              <w:t>吴忠市红寺堡县太阳山经济开发区</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40000</w:t>
            </w:r>
          </w:p>
        </w:tc>
        <w:tc>
          <w:tcPr>
            <w:tcW w:w="900" w:type="dxa"/>
            <w:noWrap w:val="0"/>
            <w:vAlign w:val="center"/>
          </w:tcPr>
          <w:p>
            <w:pPr>
              <w:jc w:val="center"/>
              <w:rPr>
                <w:rFonts w:hint="eastAsia" w:ascii="宋体" w:hAnsi="宋体" w:eastAsia="宋体"/>
                <w:color w:val="auto"/>
                <w:kern w:val="0"/>
                <w:sz w:val="24"/>
                <w:highlight w:val="none"/>
                <w:lang w:val="en-US" w:eastAsia="zh-CN"/>
              </w:rPr>
            </w:pPr>
          </w:p>
        </w:tc>
        <w:tc>
          <w:tcPr>
            <w:tcW w:w="1034" w:type="dxa"/>
            <w:noWrap w:val="0"/>
            <w:vAlign w:val="center"/>
          </w:tcPr>
          <w:p>
            <w:pPr>
              <w:jc w:val="center"/>
              <w:rPr>
                <w:rFonts w:hint="eastAsia" w:ascii="宋体" w:hAnsi="宋体" w:eastAsia="宋体"/>
                <w:color w:val="auto"/>
                <w:kern w:val="0"/>
                <w:sz w:val="24"/>
                <w:highlight w:val="none"/>
                <w:lang w:eastAsia="zh-CN"/>
              </w:rPr>
            </w:pPr>
          </w:p>
        </w:tc>
        <w:tc>
          <w:tcPr>
            <w:tcW w:w="1271"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eastAsia="zh-CN"/>
              </w:rPr>
              <w:t>一级</w:t>
            </w:r>
          </w:p>
        </w:tc>
        <w:tc>
          <w:tcPr>
            <w:tcW w:w="2861" w:type="dxa"/>
            <w:noWrap w:val="0"/>
            <w:vAlign w:val="center"/>
          </w:tcPr>
          <w:p>
            <w:pPr>
              <w:jc w:val="left"/>
              <w:rPr>
                <w:rFonts w:hint="eastAsia" w:ascii="宋体" w:hAnsi="宋体" w:eastAsia="宋体"/>
                <w:color w:val="auto"/>
                <w:kern w:val="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restart"/>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14</w:t>
            </w:r>
          </w:p>
        </w:tc>
        <w:tc>
          <w:tcPr>
            <w:tcW w:w="1904"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宁夏庆华煤化集团有限公司</w:t>
            </w:r>
          </w:p>
        </w:tc>
        <w:tc>
          <w:tcPr>
            <w:tcW w:w="2283" w:type="dxa"/>
            <w:vMerge w:val="restart"/>
            <w:noWrap w:val="0"/>
            <w:vAlign w:val="center"/>
          </w:tcPr>
          <w:p>
            <w:pPr>
              <w:jc w:val="center"/>
              <w:rPr>
                <w:rFonts w:hint="eastAsia" w:ascii="宋体" w:hAnsi="宋体"/>
                <w:color w:val="auto"/>
                <w:kern w:val="0"/>
                <w:sz w:val="24"/>
                <w:highlight w:val="none"/>
              </w:rPr>
            </w:pPr>
            <w:r>
              <w:rPr>
                <w:rFonts w:hint="eastAsia" w:ascii="宋体" w:hAnsi="宋体"/>
                <w:color w:val="auto"/>
                <w:kern w:val="0"/>
                <w:sz w:val="24"/>
                <w:highlight w:val="none"/>
              </w:rPr>
              <w:t>吴忠市红寺堡县红寺堡镇弘德社区慈善路弘德工业园区</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40000*2</w:t>
            </w:r>
          </w:p>
        </w:tc>
        <w:tc>
          <w:tcPr>
            <w:tcW w:w="900" w:type="dxa"/>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eastAsia="宋体"/>
                <w:color w:val="auto"/>
                <w:kern w:val="0"/>
                <w:sz w:val="24"/>
                <w:highlight w:val="none"/>
                <w:lang w:eastAsia="zh-CN"/>
              </w:rPr>
            </w:pPr>
          </w:p>
        </w:tc>
        <w:tc>
          <w:tcPr>
            <w:tcW w:w="1271" w:type="dxa"/>
            <w:vMerge w:val="restart"/>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eastAsia="zh-CN"/>
              </w:rPr>
              <w:t>二级</w:t>
            </w:r>
          </w:p>
        </w:tc>
        <w:tc>
          <w:tcPr>
            <w:tcW w:w="2861" w:type="dxa"/>
            <w:noWrap w:val="0"/>
            <w:vAlign w:val="center"/>
          </w:tcPr>
          <w:p>
            <w:pPr>
              <w:jc w:val="left"/>
              <w:rPr>
                <w:rFonts w:hint="eastAsia" w:ascii="宋体" w:hAnsi="宋体"/>
                <w:color w:val="auto"/>
                <w:kern w:val="0"/>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continue"/>
            <w:noWrap w:val="0"/>
            <w:vAlign w:val="center"/>
          </w:tcPr>
          <w:p>
            <w:pPr>
              <w:jc w:val="center"/>
              <w:rPr>
                <w:rFonts w:hint="eastAsia" w:ascii="宋体" w:hAnsi="宋体"/>
                <w:color w:val="auto"/>
                <w:kern w:val="0"/>
                <w:sz w:val="22"/>
                <w:highlight w:val="none"/>
              </w:rPr>
            </w:pPr>
          </w:p>
        </w:tc>
        <w:tc>
          <w:tcPr>
            <w:tcW w:w="1904" w:type="dxa"/>
            <w:vMerge w:val="continue"/>
            <w:noWrap w:val="0"/>
            <w:vAlign w:val="center"/>
          </w:tcPr>
          <w:p>
            <w:pPr>
              <w:jc w:val="left"/>
              <w:rPr>
                <w:rFonts w:hint="eastAsia" w:ascii="宋体" w:hAnsi="宋体"/>
                <w:color w:val="auto"/>
                <w:kern w:val="0"/>
                <w:sz w:val="22"/>
                <w:highlight w:val="none"/>
              </w:rPr>
            </w:pPr>
          </w:p>
        </w:tc>
        <w:tc>
          <w:tcPr>
            <w:tcW w:w="2283" w:type="dxa"/>
            <w:vMerge w:val="continue"/>
            <w:noWrap w:val="0"/>
            <w:vAlign w:val="center"/>
          </w:tcPr>
          <w:p>
            <w:pPr>
              <w:jc w:val="center"/>
              <w:rPr>
                <w:rFonts w:hint="eastAsia" w:ascii="宋体" w:hAnsi="宋体"/>
                <w:color w:val="auto"/>
                <w:kern w:val="0"/>
                <w:sz w:val="22"/>
                <w:highlight w:val="none"/>
              </w:rPr>
            </w:pPr>
          </w:p>
        </w:tc>
        <w:tc>
          <w:tcPr>
            <w:tcW w:w="946" w:type="dxa"/>
            <w:noWrap w:val="0"/>
            <w:vAlign w:val="center"/>
          </w:tcPr>
          <w:p>
            <w:pPr>
              <w:jc w:val="center"/>
              <w:rPr>
                <w:rFonts w:hint="eastAsia" w:ascii="宋体" w:hAnsi="宋体"/>
                <w:color w:val="auto"/>
                <w:kern w:val="0"/>
                <w:sz w:val="22"/>
                <w:highlight w:val="none"/>
                <w:lang w:val="en-US" w:eastAsia="zh-CN"/>
              </w:rPr>
            </w:pPr>
          </w:p>
        </w:tc>
        <w:tc>
          <w:tcPr>
            <w:tcW w:w="1309" w:type="dxa"/>
            <w:noWrap w:val="0"/>
            <w:vAlign w:val="center"/>
          </w:tcPr>
          <w:p>
            <w:pPr>
              <w:jc w:val="center"/>
              <w:rPr>
                <w:rFonts w:hint="eastAsia" w:ascii="宋体" w:hAnsi="宋体"/>
                <w:color w:val="auto"/>
                <w:kern w:val="0"/>
                <w:sz w:val="22"/>
                <w:highlight w:val="none"/>
                <w:lang w:val="en-US" w:eastAsia="zh-CN"/>
              </w:rPr>
            </w:pPr>
          </w:p>
        </w:tc>
        <w:tc>
          <w:tcPr>
            <w:tcW w:w="1065" w:type="dxa"/>
            <w:noWrap w:val="0"/>
            <w:vAlign w:val="center"/>
          </w:tcPr>
          <w:p>
            <w:pPr>
              <w:jc w:val="center"/>
              <w:rPr>
                <w:rFonts w:hint="eastAsia" w:ascii="宋体" w:hAnsi="宋体" w:eastAsia="宋体"/>
                <w:color w:val="auto"/>
                <w:kern w:val="0"/>
                <w:sz w:val="22"/>
                <w:highlight w:val="none"/>
                <w:lang w:val="en-US" w:eastAsia="zh-CN"/>
              </w:rPr>
            </w:pPr>
            <w:r>
              <w:rPr>
                <w:rFonts w:hint="eastAsia" w:ascii="宋体" w:hAnsi="宋体"/>
                <w:color w:val="auto"/>
                <w:kern w:val="0"/>
                <w:sz w:val="22"/>
                <w:highlight w:val="none"/>
                <w:lang w:val="en-US" w:eastAsia="zh-CN"/>
              </w:rPr>
              <w:t>3715</w:t>
            </w:r>
          </w:p>
        </w:tc>
        <w:tc>
          <w:tcPr>
            <w:tcW w:w="900" w:type="dxa"/>
            <w:noWrap w:val="0"/>
            <w:vAlign w:val="center"/>
          </w:tcPr>
          <w:p>
            <w:pPr>
              <w:jc w:val="center"/>
              <w:rPr>
                <w:rFonts w:hint="eastAsia" w:ascii="宋体" w:hAnsi="宋体" w:eastAsia="宋体"/>
                <w:color w:val="auto"/>
                <w:kern w:val="0"/>
                <w:sz w:val="22"/>
                <w:highlight w:val="none"/>
                <w:lang w:val="en-US" w:eastAsia="zh-CN"/>
              </w:rPr>
            </w:pPr>
          </w:p>
        </w:tc>
        <w:tc>
          <w:tcPr>
            <w:tcW w:w="1034" w:type="dxa"/>
            <w:vMerge w:val="continue"/>
            <w:noWrap w:val="0"/>
            <w:vAlign w:val="center"/>
          </w:tcPr>
          <w:p>
            <w:pPr>
              <w:jc w:val="center"/>
              <w:rPr>
                <w:rFonts w:hint="eastAsia" w:ascii="宋体" w:hAnsi="宋体"/>
                <w:color w:val="auto"/>
                <w:kern w:val="0"/>
                <w:sz w:val="22"/>
                <w:highlight w:val="none"/>
              </w:rPr>
            </w:pPr>
          </w:p>
        </w:tc>
        <w:tc>
          <w:tcPr>
            <w:tcW w:w="1271" w:type="dxa"/>
            <w:vMerge w:val="continue"/>
            <w:noWrap w:val="0"/>
            <w:vAlign w:val="center"/>
          </w:tcPr>
          <w:p>
            <w:pPr>
              <w:jc w:val="center"/>
              <w:rPr>
                <w:rFonts w:hint="eastAsia" w:ascii="宋体" w:hAnsi="宋体"/>
                <w:color w:val="auto"/>
                <w:kern w:val="0"/>
                <w:sz w:val="22"/>
                <w:highlight w:val="none"/>
              </w:rPr>
            </w:pPr>
          </w:p>
        </w:tc>
        <w:tc>
          <w:tcPr>
            <w:tcW w:w="2861" w:type="dxa"/>
            <w:noWrap w:val="0"/>
            <w:vAlign w:val="center"/>
          </w:tcPr>
          <w:p>
            <w:pPr>
              <w:jc w:val="left"/>
              <w:rPr>
                <w:rFonts w:hint="eastAsia" w:ascii="宋体" w:hAnsi="宋体"/>
                <w:color w:val="auto"/>
                <w:kern w:val="0"/>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continue"/>
            <w:noWrap w:val="0"/>
            <w:vAlign w:val="center"/>
          </w:tcPr>
          <w:p>
            <w:pPr>
              <w:jc w:val="center"/>
              <w:rPr>
                <w:rFonts w:hint="eastAsia" w:ascii="宋体" w:hAnsi="宋体"/>
                <w:color w:val="auto"/>
                <w:kern w:val="0"/>
                <w:sz w:val="22"/>
                <w:highlight w:val="none"/>
              </w:rPr>
            </w:pPr>
          </w:p>
        </w:tc>
        <w:tc>
          <w:tcPr>
            <w:tcW w:w="1904" w:type="dxa"/>
            <w:vMerge w:val="continue"/>
            <w:noWrap w:val="0"/>
            <w:vAlign w:val="center"/>
          </w:tcPr>
          <w:p>
            <w:pPr>
              <w:jc w:val="left"/>
              <w:rPr>
                <w:rFonts w:hint="eastAsia" w:ascii="宋体" w:hAnsi="宋体"/>
                <w:color w:val="auto"/>
                <w:kern w:val="0"/>
                <w:sz w:val="22"/>
                <w:highlight w:val="none"/>
              </w:rPr>
            </w:pPr>
          </w:p>
        </w:tc>
        <w:tc>
          <w:tcPr>
            <w:tcW w:w="2283" w:type="dxa"/>
            <w:vMerge w:val="continue"/>
            <w:noWrap w:val="0"/>
            <w:vAlign w:val="center"/>
          </w:tcPr>
          <w:p>
            <w:pPr>
              <w:jc w:val="center"/>
              <w:rPr>
                <w:rFonts w:hint="eastAsia" w:ascii="宋体" w:hAnsi="宋体"/>
                <w:color w:val="auto"/>
                <w:kern w:val="0"/>
                <w:sz w:val="22"/>
                <w:highlight w:val="none"/>
              </w:rPr>
            </w:pPr>
          </w:p>
        </w:tc>
        <w:tc>
          <w:tcPr>
            <w:tcW w:w="946" w:type="dxa"/>
            <w:noWrap w:val="0"/>
            <w:vAlign w:val="center"/>
          </w:tcPr>
          <w:p>
            <w:pPr>
              <w:jc w:val="center"/>
              <w:rPr>
                <w:rFonts w:hint="eastAsia" w:ascii="宋体" w:hAnsi="宋体"/>
                <w:color w:val="auto"/>
                <w:kern w:val="0"/>
                <w:sz w:val="22"/>
                <w:highlight w:val="none"/>
                <w:lang w:val="en-US" w:eastAsia="zh-CN"/>
              </w:rPr>
            </w:pPr>
          </w:p>
        </w:tc>
        <w:tc>
          <w:tcPr>
            <w:tcW w:w="1309" w:type="dxa"/>
            <w:noWrap w:val="0"/>
            <w:vAlign w:val="center"/>
          </w:tcPr>
          <w:p>
            <w:pPr>
              <w:jc w:val="center"/>
              <w:rPr>
                <w:rFonts w:hint="eastAsia" w:ascii="宋体" w:hAnsi="宋体"/>
                <w:color w:val="auto"/>
                <w:kern w:val="0"/>
                <w:sz w:val="22"/>
                <w:highlight w:val="none"/>
                <w:lang w:val="en-US" w:eastAsia="zh-CN"/>
              </w:rPr>
            </w:pPr>
          </w:p>
        </w:tc>
        <w:tc>
          <w:tcPr>
            <w:tcW w:w="1065" w:type="dxa"/>
            <w:noWrap w:val="0"/>
            <w:vAlign w:val="center"/>
          </w:tcPr>
          <w:p>
            <w:pPr>
              <w:jc w:val="center"/>
              <w:rPr>
                <w:rFonts w:hint="eastAsia" w:ascii="宋体" w:hAnsi="宋体" w:eastAsia="宋体"/>
                <w:color w:val="auto"/>
                <w:kern w:val="0"/>
                <w:sz w:val="22"/>
                <w:highlight w:val="none"/>
                <w:lang w:val="en-US" w:eastAsia="zh-CN"/>
              </w:rPr>
            </w:pPr>
            <w:r>
              <w:rPr>
                <w:rFonts w:hint="eastAsia" w:ascii="宋体" w:hAnsi="宋体"/>
                <w:color w:val="auto"/>
                <w:kern w:val="0"/>
                <w:sz w:val="22"/>
                <w:highlight w:val="none"/>
                <w:lang w:val="en-US" w:eastAsia="zh-CN"/>
              </w:rPr>
              <w:t>6990</w:t>
            </w:r>
          </w:p>
        </w:tc>
        <w:tc>
          <w:tcPr>
            <w:tcW w:w="900" w:type="dxa"/>
            <w:noWrap w:val="0"/>
            <w:vAlign w:val="center"/>
          </w:tcPr>
          <w:p>
            <w:pPr>
              <w:jc w:val="center"/>
              <w:rPr>
                <w:rFonts w:hint="eastAsia" w:ascii="宋体" w:hAnsi="宋体" w:eastAsia="宋体"/>
                <w:color w:val="auto"/>
                <w:kern w:val="0"/>
                <w:sz w:val="22"/>
                <w:highlight w:val="none"/>
                <w:lang w:val="en-US" w:eastAsia="zh-CN"/>
              </w:rPr>
            </w:pPr>
          </w:p>
        </w:tc>
        <w:tc>
          <w:tcPr>
            <w:tcW w:w="1034" w:type="dxa"/>
            <w:vMerge w:val="continue"/>
            <w:noWrap w:val="0"/>
            <w:vAlign w:val="center"/>
          </w:tcPr>
          <w:p>
            <w:pPr>
              <w:jc w:val="center"/>
              <w:rPr>
                <w:rFonts w:hint="eastAsia" w:ascii="宋体" w:hAnsi="宋体"/>
                <w:color w:val="auto"/>
                <w:kern w:val="0"/>
                <w:sz w:val="22"/>
                <w:highlight w:val="none"/>
              </w:rPr>
            </w:pPr>
          </w:p>
        </w:tc>
        <w:tc>
          <w:tcPr>
            <w:tcW w:w="1271" w:type="dxa"/>
            <w:vMerge w:val="continue"/>
            <w:noWrap w:val="0"/>
            <w:vAlign w:val="center"/>
          </w:tcPr>
          <w:p>
            <w:pPr>
              <w:jc w:val="center"/>
              <w:rPr>
                <w:rFonts w:hint="eastAsia" w:ascii="宋体" w:hAnsi="宋体"/>
                <w:color w:val="auto"/>
                <w:kern w:val="0"/>
                <w:sz w:val="22"/>
                <w:highlight w:val="none"/>
              </w:rPr>
            </w:pPr>
          </w:p>
        </w:tc>
        <w:tc>
          <w:tcPr>
            <w:tcW w:w="2861" w:type="dxa"/>
            <w:noWrap w:val="0"/>
            <w:vAlign w:val="center"/>
          </w:tcPr>
          <w:p>
            <w:pPr>
              <w:jc w:val="left"/>
              <w:rPr>
                <w:rFonts w:hint="eastAsia" w:ascii="宋体" w:hAnsi="宋体" w:eastAsia="宋体"/>
                <w:color w:val="auto"/>
                <w:kern w:val="0"/>
                <w:sz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restart"/>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15</w:t>
            </w:r>
          </w:p>
        </w:tc>
        <w:tc>
          <w:tcPr>
            <w:tcW w:w="1904"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吴忠市机关事务服务中心</w:t>
            </w:r>
          </w:p>
        </w:tc>
        <w:tc>
          <w:tcPr>
            <w:tcW w:w="2283" w:type="dxa"/>
            <w:vMerge w:val="restart"/>
            <w:noWrap w:val="0"/>
            <w:vAlign w:val="center"/>
          </w:tcPr>
          <w:p>
            <w:pPr>
              <w:jc w:val="center"/>
              <w:rPr>
                <w:rFonts w:hint="eastAsia" w:ascii="宋体" w:hAnsi="宋体"/>
                <w:color w:val="auto"/>
                <w:kern w:val="0"/>
                <w:sz w:val="24"/>
                <w:highlight w:val="none"/>
              </w:rPr>
            </w:pPr>
            <w:r>
              <w:rPr>
                <w:rFonts w:hint="eastAsia" w:ascii="宋体" w:hAnsi="宋体"/>
                <w:color w:val="auto"/>
                <w:kern w:val="0"/>
                <w:sz w:val="24"/>
                <w:highlight w:val="none"/>
              </w:rPr>
              <w:t>吴忠市利通区金星镇裕西社区迎宾大街</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630</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eastAsia="宋体"/>
                <w:color w:val="auto"/>
                <w:kern w:val="0"/>
                <w:sz w:val="24"/>
                <w:highlight w:val="none"/>
                <w:lang w:eastAsia="zh-CN"/>
              </w:rPr>
            </w:pPr>
          </w:p>
        </w:tc>
        <w:tc>
          <w:tcPr>
            <w:tcW w:w="1271" w:type="dxa"/>
            <w:vMerge w:val="restart"/>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eastAsia="zh-CN"/>
              </w:rPr>
              <w:t>二级</w:t>
            </w: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continue"/>
            <w:noWrap w:val="0"/>
            <w:vAlign w:val="center"/>
          </w:tcPr>
          <w:p>
            <w:pPr>
              <w:jc w:val="center"/>
              <w:rPr>
                <w:rFonts w:hint="eastAsia" w:ascii="宋体" w:hAnsi="宋体"/>
                <w:color w:val="auto"/>
                <w:kern w:val="0"/>
                <w:sz w:val="24"/>
                <w:highlight w:val="none"/>
              </w:rPr>
            </w:pPr>
          </w:p>
        </w:tc>
        <w:tc>
          <w:tcPr>
            <w:tcW w:w="1904" w:type="dxa"/>
            <w:vMerge w:val="continue"/>
            <w:noWrap w:val="0"/>
            <w:vAlign w:val="center"/>
          </w:tcPr>
          <w:p>
            <w:pPr>
              <w:jc w:val="left"/>
              <w:rPr>
                <w:rFonts w:hint="eastAsia" w:ascii="宋体" w:hAnsi="宋体"/>
                <w:color w:val="auto"/>
                <w:kern w:val="0"/>
                <w:sz w:val="24"/>
                <w:highlight w:val="none"/>
              </w:rPr>
            </w:pPr>
          </w:p>
        </w:tc>
        <w:tc>
          <w:tcPr>
            <w:tcW w:w="2283" w:type="dxa"/>
            <w:vMerge w:val="continue"/>
            <w:noWrap w:val="0"/>
            <w:vAlign w:val="center"/>
          </w:tcPr>
          <w:p>
            <w:pPr>
              <w:jc w:val="center"/>
              <w:rPr>
                <w:rFonts w:hint="eastAsia" w:ascii="宋体" w:hAnsi="宋体"/>
                <w:color w:val="auto"/>
                <w:kern w:val="0"/>
                <w:sz w:val="24"/>
                <w:highlight w:val="none"/>
              </w:rPr>
            </w:pP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1250</w:t>
            </w:r>
          </w:p>
        </w:tc>
        <w:tc>
          <w:tcPr>
            <w:tcW w:w="900" w:type="dxa"/>
            <w:vMerge w:val="continue"/>
            <w:noWrap w:val="0"/>
            <w:vAlign w:val="center"/>
          </w:tcPr>
          <w:p>
            <w:pPr>
              <w:jc w:val="center"/>
              <w:rPr>
                <w:rFonts w:hint="eastAsia" w:ascii="宋体" w:hAnsi="宋体"/>
                <w:color w:val="auto"/>
                <w:kern w:val="0"/>
                <w:sz w:val="24"/>
                <w:highlight w:val="none"/>
              </w:rPr>
            </w:pPr>
          </w:p>
        </w:tc>
        <w:tc>
          <w:tcPr>
            <w:tcW w:w="1034" w:type="dxa"/>
            <w:vMerge w:val="continue"/>
            <w:noWrap w:val="0"/>
            <w:vAlign w:val="center"/>
          </w:tcPr>
          <w:p>
            <w:pPr>
              <w:jc w:val="center"/>
              <w:rPr>
                <w:rFonts w:hint="eastAsia" w:ascii="宋体" w:hAnsi="宋体"/>
                <w:color w:val="auto"/>
                <w:kern w:val="0"/>
                <w:sz w:val="24"/>
                <w:highlight w:val="none"/>
              </w:rPr>
            </w:pPr>
          </w:p>
        </w:tc>
        <w:tc>
          <w:tcPr>
            <w:tcW w:w="1271" w:type="dxa"/>
            <w:vMerge w:val="continue"/>
            <w:noWrap w:val="0"/>
            <w:vAlign w:val="center"/>
          </w:tcPr>
          <w:p>
            <w:pPr>
              <w:jc w:val="center"/>
              <w:rPr>
                <w:rFonts w:hint="eastAsia" w:ascii="宋体" w:hAnsi="宋体"/>
                <w:color w:val="auto"/>
                <w:kern w:val="0"/>
                <w:sz w:val="24"/>
                <w:highlight w:val="none"/>
              </w:rPr>
            </w:pP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556" w:type="dxa"/>
            <w:vMerge w:val="restart"/>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16</w:t>
            </w:r>
          </w:p>
        </w:tc>
        <w:tc>
          <w:tcPr>
            <w:tcW w:w="1904" w:type="dxa"/>
            <w:vMerge w:val="restart"/>
            <w:noWrap w:val="0"/>
            <w:vAlign w:val="center"/>
          </w:tcPr>
          <w:p>
            <w:pPr>
              <w:jc w:val="left"/>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宁夏广播电视台罗山电视调频转播台</w:t>
            </w:r>
          </w:p>
        </w:tc>
        <w:tc>
          <w:tcPr>
            <w:tcW w:w="2283"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吴忠市红寺堡区罗山国家级自然保护区</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315</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eastAsia="宋体"/>
                <w:color w:val="auto"/>
                <w:kern w:val="0"/>
                <w:sz w:val="24"/>
                <w:highlight w:val="none"/>
                <w:lang w:eastAsia="zh-CN"/>
              </w:rPr>
            </w:pPr>
          </w:p>
        </w:tc>
        <w:tc>
          <w:tcPr>
            <w:tcW w:w="1271"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二级</w:t>
            </w: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556" w:type="dxa"/>
            <w:vMerge w:val="continue"/>
            <w:noWrap w:val="0"/>
            <w:vAlign w:val="center"/>
          </w:tcPr>
          <w:p>
            <w:pPr>
              <w:jc w:val="center"/>
              <w:rPr>
                <w:rFonts w:hint="eastAsia" w:ascii="宋体" w:hAnsi="宋体"/>
                <w:color w:val="auto"/>
                <w:kern w:val="0"/>
                <w:sz w:val="24"/>
                <w:highlight w:val="none"/>
              </w:rPr>
            </w:pPr>
          </w:p>
        </w:tc>
        <w:tc>
          <w:tcPr>
            <w:tcW w:w="1904" w:type="dxa"/>
            <w:vMerge w:val="continue"/>
            <w:noWrap w:val="0"/>
            <w:vAlign w:val="center"/>
          </w:tcPr>
          <w:p>
            <w:pPr>
              <w:jc w:val="left"/>
              <w:rPr>
                <w:rFonts w:hint="eastAsia" w:ascii="宋体" w:hAnsi="宋体"/>
                <w:color w:val="auto"/>
                <w:kern w:val="0"/>
                <w:sz w:val="24"/>
                <w:highlight w:val="none"/>
              </w:rPr>
            </w:pPr>
          </w:p>
        </w:tc>
        <w:tc>
          <w:tcPr>
            <w:tcW w:w="2283" w:type="dxa"/>
            <w:vMerge w:val="continue"/>
            <w:noWrap w:val="0"/>
            <w:vAlign w:val="center"/>
          </w:tcPr>
          <w:p>
            <w:pPr>
              <w:jc w:val="center"/>
              <w:rPr>
                <w:rFonts w:hint="eastAsia" w:ascii="宋体" w:hAnsi="宋体"/>
                <w:color w:val="auto"/>
                <w:kern w:val="0"/>
                <w:sz w:val="24"/>
                <w:highlight w:val="none"/>
              </w:rPr>
            </w:pP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315</w:t>
            </w:r>
          </w:p>
        </w:tc>
        <w:tc>
          <w:tcPr>
            <w:tcW w:w="900" w:type="dxa"/>
            <w:vMerge w:val="continue"/>
            <w:noWrap w:val="0"/>
            <w:vAlign w:val="center"/>
          </w:tcPr>
          <w:p>
            <w:pPr>
              <w:jc w:val="center"/>
              <w:rPr>
                <w:rFonts w:hint="eastAsia" w:ascii="宋体" w:hAnsi="宋体"/>
                <w:color w:val="auto"/>
                <w:kern w:val="0"/>
                <w:sz w:val="24"/>
                <w:highlight w:val="none"/>
              </w:rPr>
            </w:pPr>
          </w:p>
        </w:tc>
        <w:tc>
          <w:tcPr>
            <w:tcW w:w="1034" w:type="dxa"/>
            <w:vMerge w:val="continue"/>
            <w:noWrap w:val="0"/>
            <w:vAlign w:val="center"/>
          </w:tcPr>
          <w:p>
            <w:pPr>
              <w:jc w:val="center"/>
              <w:rPr>
                <w:rFonts w:hint="eastAsia" w:ascii="宋体" w:hAnsi="宋体"/>
                <w:color w:val="auto"/>
                <w:kern w:val="0"/>
                <w:sz w:val="24"/>
                <w:highlight w:val="none"/>
              </w:rPr>
            </w:pPr>
          </w:p>
        </w:tc>
        <w:tc>
          <w:tcPr>
            <w:tcW w:w="1271" w:type="dxa"/>
            <w:vMerge w:val="continue"/>
            <w:noWrap w:val="0"/>
            <w:vAlign w:val="center"/>
          </w:tcPr>
          <w:p>
            <w:pPr>
              <w:jc w:val="center"/>
              <w:rPr>
                <w:rFonts w:hint="eastAsia" w:ascii="宋体" w:hAnsi="宋体"/>
                <w:color w:val="auto"/>
                <w:kern w:val="0"/>
                <w:sz w:val="24"/>
                <w:highlight w:val="none"/>
              </w:rPr>
            </w:pPr>
          </w:p>
        </w:tc>
        <w:tc>
          <w:tcPr>
            <w:tcW w:w="2861" w:type="dxa"/>
            <w:noWrap w:val="0"/>
            <w:vAlign w:val="center"/>
          </w:tcPr>
          <w:p>
            <w:pPr>
              <w:jc w:val="left"/>
              <w:rPr>
                <w:rFonts w:hint="eastAsia" w:ascii="宋体" w:hAnsi="宋体" w:eastAsia="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restart"/>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17</w:t>
            </w:r>
          </w:p>
        </w:tc>
        <w:tc>
          <w:tcPr>
            <w:tcW w:w="1904"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兰州铁路局银川供电段（吴忠）</w:t>
            </w:r>
          </w:p>
        </w:tc>
        <w:tc>
          <w:tcPr>
            <w:tcW w:w="2283" w:type="dxa"/>
            <w:vMerge w:val="restart"/>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rPr>
              <w:t>吴忠市利通区金银滩镇</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3795</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eastAsia="宋体"/>
                <w:color w:val="auto"/>
                <w:kern w:val="0"/>
                <w:sz w:val="24"/>
                <w:highlight w:val="none"/>
                <w:lang w:eastAsia="zh-CN"/>
              </w:rPr>
            </w:pPr>
          </w:p>
        </w:tc>
        <w:tc>
          <w:tcPr>
            <w:tcW w:w="1271" w:type="dxa"/>
            <w:vMerge w:val="restart"/>
            <w:noWrap w:val="0"/>
            <w:vAlign w:val="center"/>
          </w:tcPr>
          <w:p>
            <w:pPr>
              <w:jc w:val="center"/>
              <w:rPr>
                <w:rFonts w:hint="eastAsia" w:ascii="宋体" w:hAnsi="宋体"/>
                <w:color w:val="auto"/>
                <w:kern w:val="0"/>
                <w:sz w:val="24"/>
                <w:highlight w:val="none"/>
              </w:rPr>
            </w:pPr>
            <w:r>
              <w:rPr>
                <w:rFonts w:hint="eastAsia" w:ascii="宋体" w:hAnsi="宋体"/>
                <w:color w:val="auto"/>
                <w:kern w:val="0"/>
                <w:sz w:val="24"/>
                <w:highlight w:val="none"/>
                <w:lang w:eastAsia="zh-CN"/>
              </w:rPr>
              <w:t>一级</w:t>
            </w:r>
          </w:p>
        </w:tc>
        <w:tc>
          <w:tcPr>
            <w:tcW w:w="2861" w:type="dxa"/>
            <w:noWrap w:val="0"/>
            <w:vAlign w:val="center"/>
          </w:tcPr>
          <w:p>
            <w:pPr>
              <w:jc w:val="left"/>
              <w:rPr>
                <w:rFonts w:hint="eastAsia" w:ascii="宋体" w:hAnsi="宋体"/>
                <w:color w:val="auto"/>
                <w:kern w:val="0"/>
                <w:sz w:val="24"/>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continue"/>
            <w:noWrap w:val="0"/>
            <w:vAlign w:val="center"/>
          </w:tcPr>
          <w:p>
            <w:pPr>
              <w:jc w:val="center"/>
              <w:rPr>
                <w:rFonts w:hint="eastAsia" w:ascii="宋体" w:hAnsi="宋体"/>
                <w:color w:val="auto"/>
                <w:kern w:val="0"/>
                <w:sz w:val="24"/>
                <w:highlight w:val="none"/>
              </w:rPr>
            </w:pPr>
          </w:p>
        </w:tc>
        <w:tc>
          <w:tcPr>
            <w:tcW w:w="1904" w:type="dxa"/>
            <w:vMerge w:val="continue"/>
            <w:noWrap w:val="0"/>
            <w:vAlign w:val="center"/>
          </w:tcPr>
          <w:p>
            <w:pPr>
              <w:jc w:val="left"/>
              <w:rPr>
                <w:rFonts w:ascii="宋体" w:hAnsi="宋体"/>
                <w:color w:val="auto"/>
                <w:kern w:val="0"/>
                <w:sz w:val="24"/>
                <w:highlight w:val="none"/>
              </w:rPr>
            </w:pPr>
          </w:p>
        </w:tc>
        <w:tc>
          <w:tcPr>
            <w:tcW w:w="2283" w:type="dxa"/>
            <w:vMerge w:val="continue"/>
            <w:noWrap w:val="0"/>
            <w:vAlign w:val="center"/>
          </w:tcPr>
          <w:p>
            <w:pPr>
              <w:jc w:val="center"/>
              <w:rPr>
                <w:rFonts w:ascii="宋体" w:hAnsi="宋体"/>
                <w:color w:val="auto"/>
                <w:kern w:val="0"/>
                <w:sz w:val="24"/>
                <w:highlight w:val="none"/>
              </w:rPr>
            </w:pP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3880</w:t>
            </w:r>
          </w:p>
        </w:tc>
        <w:tc>
          <w:tcPr>
            <w:tcW w:w="900" w:type="dxa"/>
            <w:vMerge w:val="continue"/>
            <w:noWrap w:val="0"/>
            <w:vAlign w:val="center"/>
          </w:tcPr>
          <w:p>
            <w:pPr>
              <w:jc w:val="center"/>
              <w:rPr>
                <w:rFonts w:hint="eastAsia" w:ascii="宋体" w:hAnsi="宋体"/>
                <w:color w:val="auto"/>
                <w:kern w:val="0"/>
                <w:sz w:val="24"/>
                <w:highlight w:val="none"/>
              </w:rPr>
            </w:pPr>
          </w:p>
        </w:tc>
        <w:tc>
          <w:tcPr>
            <w:tcW w:w="1034" w:type="dxa"/>
            <w:vMerge w:val="continue"/>
            <w:noWrap w:val="0"/>
            <w:vAlign w:val="center"/>
          </w:tcPr>
          <w:p>
            <w:pPr>
              <w:jc w:val="center"/>
              <w:rPr>
                <w:rFonts w:hint="eastAsia" w:ascii="宋体" w:hAnsi="宋体"/>
                <w:color w:val="auto"/>
                <w:kern w:val="0"/>
                <w:sz w:val="24"/>
                <w:highlight w:val="none"/>
              </w:rPr>
            </w:pPr>
          </w:p>
        </w:tc>
        <w:tc>
          <w:tcPr>
            <w:tcW w:w="1271" w:type="dxa"/>
            <w:vMerge w:val="continue"/>
            <w:noWrap w:val="0"/>
            <w:vAlign w:val="center"/>
          </w:tcPr>
          <w:p>
            <w:pPr>
              <w:jc w:val="center"/>
              <w:rPr>
                <w:rFonts w:hint="eastAsia" w:ascii="宋体" w:hAnsi="宋体"/>
                <w:color w:val="auto"/>
                <w:kern w:val="0"/>
                <w:sz w:val="24"/>
                <w:highlight w:val="none"/>
              </w:rPr>
            </w:pPr>
          </w:p>
        </w:tc>
        <w:tc>
          <w:tcPr>
            <w:tcW w:w="2861" w:type="dxa"/>
            <w:noWrap w:val="0"/>
            <w:vAlign w:val="center"/>
          </w:tcPr>
          <w:p>
            <w:pPr>
              <w:jc w:val="left"/>
              <w:rPr>
                <w:rFonts w:hint="eastAsia" w:ascii="宋体" w:hAnsi="宋体"/>
                <w:color w:val="auto"/>
                <w:kern w:val="0"/>
                <w:sz w:val="24"/>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restart"/>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18</w:t>
            </w:r>
          </w:p>
        </w:tc>
        <w:tc>
          <w:tcPr>
            <w:tcW w:w="1904"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银西铁路有限公司（吴忠段）</w:t>
            </w:r>
          </w:p>
        </w:tc>
        <w:tc>
          <w:tcPr>
            <w:tcW w:w="2283" w:type="dxa"/>
            <w:vMerge w:val="restart"/>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rPr>
              <w:t>吴忠市利通区金银滩镇</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65000</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eastAsia="宋体"/>
                <w:color w:val="auto"/>
                <w:kern w:val="0"/>
                <w:sz w:val="24"/>
                <w:highlight w:val="none"/>
                <w:lang w:eastAsia="zh-CN"/>
              </w:rPr>
            </w:pPr>
          </w:p>
        </w:tc>
        <w:tc>
          <w:tcPr>
            <w:tcW w:w="1271" w:type="dxa"/>
            <w:vMerge w:val="restart"/>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eastAsia="zh-CN"/>
              </w:rPr>
              <w:t>一级</w:t>
            </w:r>
          </w:p>
        </w:tc>
        <w:tc>
          <w:tcPr>
            <w:tcW w:w="2861" w:type="dxa"/>
            <w:noWrap w:val="0"/>
            <w:vAlign w:val="center"/>
          </w:tcPr>
          <w:p>
            <w:pPr>
              <w:jc w:val="left"/>
              <w:rPr>
                <w:rFonts w:hint="eastAsia" w:ascii="宋体" w:hAnsi="宋体"/>
                <w:color w:val="auto"/>
                <w:kern w:val="0"/>
                <w:sz w:val="24"/>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continue"/>
            <w:noWrap w:val="0"/>
            <w:vAlign w:val="center"/>
          </w:tcPr>
          <w:p>
            <w:pPr>
              <w:jc w:val="center"/>
              <w:rPr>
                <w:rFonts w:hint="eastAsia" w:ascii="宋体" w:hAnsi="宋体"/>
                <w:color w:val="auto"/>
                <w:kern w:val="0"/>
                <w:sz w:val="24"/>
                <w:highlight w:val="none"/>
              </w:rPr>
            </w:pPr>
          </w:p>
        </w:tc>
        <w:tc>
          <w:tcPr>
            <w:tcW w:w="1904" w:type="dxa"/>
            <w:vMerge w:val="continue"/>
            <w:noWrap w:val="0"/>
            <w:vAlign w:val="center"/>
          </w:tcPr>
          <w:p>
            <w:pPr>
              <w:jc w:val="left"/>
              <w:rPr>
                <w:rFonts w:hint="eastAsia" w:ascii="宋体" w:hAnsi="宋体"/>
                <w:color w:val="auto"/>
                <w:kern w:val="0"/>
                <w:sz w:val="24"/>
                <w:highlight w:val="none"/>
              </w:rPr>
            </w:pPr>
          </w:p>
        </w:tc>
        <w:tc>
          <w:tcPr>
            <w:tcW w:w="2283" w:type="dxa"/>
            <w:vMerge w:val="continue"/>
            <w:noWrap w:val="0"/>
            <w:vAlign w:val="center"/>
          </w:tcPr>
          <w:p>
            <w:pPr>
              <w:jc w:val="center"/>
              <w:rPr>
                <w:rFonts w:hint="eastAsia" w:ascii="宋体" w:hAnsi="宋体"/>
                <w:color w:val="auto"/>
                <w:kern w:val="0"/>
                <w:sz w:val="24"/>
                <w:highlight w:val="none"/>
              </w:rPr>
            </w:pPr>
          </w:p>
        </w:tc>
        <w:tc>
          <w:tcPr>
            <w:tcW w:w="946" w:type="dxa"/>
            <w:noWrap w:val="0"/>
            <w:vAlign w:val="center"/>
          </w:tcPr>
          <w:p>
            <w:pPr>
              <w:jc w:val="center"/>
              <w:rPr>
                <w:rFonts w:hint="eastAsia" w:ascii="宋体" w:hAnsi="宋体" w:eastAsia="宋体"/>
                <w:color w:val="auto"/>
                <w:kern w:val="0"/>
                <w:sz w:val="24"/>
                <w:highlight w:val="none"/>
                <w:lang w:val="en-US" w:eastAsia="zh-CN"/>
              </w:rPr>
            </w:pPr>
          </w:p>
        </w:tc>
        <w:tc>
          <w:tcPr>
            <w:tcW w:w="1309" w:type="dxa"/>
            <w:noWrap w:val="0"/>
            <w:vAlign w:val="center"/>
          </w:tcPr>
          <w:p>
            <w:pPr>
              <w:jc w:val="center"/>
              <w:rPr>
                <w:rFonts w:hint="eastAsia" w:ascii="宋体" w:hAnsi="宋体" w:eastAsia="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65000</w:t>
            </w:r>
          </w:p>
        </w:tc>
        <w:tc>
          <w:tcPr>
            <w:tcW w:w="900" w:type="dxa"/>
            <w:vMerge w:val="continue"/>
            <w:noWrap w:val="0"/>
            <w:vAlign w:val="center"/>
          </w:tcPr>
          <w:p>
            <w:pPr>
              <w:jc w:val="center"/>
              <w:rPr>
                <w:rFonts w:hint="eastAsia" w:ascii="宋体" w:hAnsi="宋体"/>
                <w:color w:val="auto"/>
                <w:kern w:val="0"/>
                <w:sz w:val="24"/>
                <w:highlight w:val="none"/>
              </w:rPr>
            </w:pPr>
          </w:p>
        </w:tc>
        <w:tc>
          <w:tcPr>
            <w:tcW w:w="1034" w:type="dxa"/>
            <w:vMerge w:val="continue"/>
            <w:noWrap w:val="0"/>
            <w:vAlign w:val="center"/>
          </w:tcPr>
          <w:p>
            <w:pPr>
              <w:jc w:val="center"/>
              <w:rPr>
                <w:rFonts w:hint="eastAsia" w:ascii="宋体" w:hAnsi="宋体"/>
                <w:color w:val="auto"/>
                <w:kern w:val="0"/>
                <w:sz w:val="24"/>
                <w:highlight w:val="none"/>
              </w:rPr>
            </w:pPr>
          </w:p>
        </w:tc>
        <w:tc>
          <w:tcPr>
            <w:tcW w:w="1271" w:type="dxa"/>
            <w:vMerge w:val="continue"/>
            <w:noWrap w:val="0"/>
            <w:vAlign w:val="center"/>
          </w:tcPr>
          <w:p>
            <w:pPr>
              <w:jc w:val="center"/>
              <w:rPr>
                <w:rFonts w:hint="eastAsia" w:ascii="宋体" w:hAnsi="宋体"/>
                <w:color w:val="auto"/>
                <w:kern w:val="0"/>
                <w:sz w:val="24"/>
                <w:highlight w:val="none"/>
              </w:rPr>
            </w:pPr>
          </w:p>
        </w:tc>
        <w:tc>
          <w:tcPr>
            <w:tcW w:w="2861" w:type="dxa"/>
            <w:noWrap w:val="0"/>
            <w:vAlign w:val="center"/>
          </w:tcPr>
          <w:p>
            <w:pPr>
              <w:jc w:val="left"/>
              <w:rPr>
                <w:rFonts w:hint="eastAsia" w:ascii="宋体" w:hAnsi="宋体"/>
                <w:color w:val="auto"/>
                <w:kern w:val="0"/>
                <w:sz w:val="24"/>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restart"/>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19</w:t>
            </w:r>
          </w:p>
        </w:tc>
        <w:tc>
          <w:tcPr>
            <w:tcW w:w="1904"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兰州铁路局银川供电段（青铜峡）</w:t>
            </w:r>
          </w:p>
        </w:tc>
        <w:tc>
          <w:tcPr>
            <w:tcW w:w="2283" w:type="dxa"/>
            <w:vMerge w:val="restart"/>
            <w:noWrap w:val="0"/>
            <w:vAlign w:val="center"/>
          </w:tcPr>
          <w:p>
            <w:pPr>
              <w:jc w:val="center"/>
              <w:rPr>
                <w:rFonts w:hint="eastAsia" w:ascii="宋体" w:hAnsi="宋体"/>
                <w:color w:val="auto"/>
                <w:kern w:val="0"/>
                <w:sz w:val="24"/>
                <w:highlight w:val="none"/>
              </w:rPr>
            </w:pPr>
            <w:r>
              <w:rPr>
                <w:rFonts w:hint="eastAsia" w:ascii="宋体" w:hAnsi="宋体"/>
                <w:color w:val="auto"/>
                <w:kern w:val="0"/>
                <w:sz w:val="24"/>
                <w:highlight w:val="none"/>
              </w:rPr>
              <w:t>青铜峡市火车站大坝镇</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20000</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eastAsia="宋体"/>
                <w:color w:val="auto"/>
                <w:kern w:val="0"/>
                <w:sz w:val="24"/>
                <w:highlight w:val="none"/>
                <w:lang w:eastAsia="zh-CN"/>
              </w:rPr>
            </w:pPr>
          </w:p>
        </w:tc>
        <w:tc>
          <w:tcPr>
            <w:tcW w:w="1271"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一级</w:t>
            </w:r>
          </w:p>
        </w:tc>
        <w:tc>
          <w:tcPr>
            <w:tcW w:w="2861" w:type="dxa"/>
            <w:noWrap w:val="0"/>
            <w:vAlign w:val="center"/>
          </w:tcPr>
          <w:p>
            <w:pPr>
              <w:jc w:val="left"/>
              <w:rPr>
                <w:rFonts w:hint="eastAsia" w:ascii="宋体" w:hAnsi="宋体"/>
                <w:color w:val="auto"/>
                <w:kern w:val="0"/>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continue"/>
            <w:noWrap w:val="0"/>
            <w:vAlign w:val="center"/>
          </w:tcPr>
          <w:p>
            <w:pPr>
              <w:jc w:val="center"/>
              <w:rPr>
                <w:rFonts w:hint="eastAsia" w:ascii="宋体" w:hAnsi="宋体"/>
                <w:color w:val="auto"/>
                <w:kern w:val="0"/>
                <w:sz w:val="24"/>
                <w:highlight w:val="none"/>
              </w:rPr>
            </w:pPr>
          </w:p>
        </w:tc>
        <w:tc>
          <w:tcPr>
            <w:tcW w:w="1904" w:type="dxa"/>
            <w:vMerge w:val="continue"/>
            <w:noWrap w:val="0"/>
            <w:vAlign w:val="center"/>
          </w:tcPr>
          <w:p>
            <w:pPr>
              <w:jc w:val="left"/>
              <w:rPr>
                <w:rFonts w:hint="eastAsia" w:ascii="宋体" w:hAnsi="宋体"/>
                <w:color w:val="auto"/>
                <w:kern w:val="0"/>
                <w:sz w:val="24"/>
                <w:highlight w:val="none"/>
              </w:rPr>
            </w:pPr>
          </w:p>
        </w:tc>
        <w:tc>
          <w:tcPr>
            <w:tcW w:w="2283" w:type="dxa"/>
            <w:vMerge w:val="continue"/>
            <w:noWrap w:val="0"/>
            <w:vAlign w:val="center"/>
          </w:tcPr>
          <w:p>
            <w:pPr>
              <w:jc w:val="center"/>
              <w:rPr>
                <w:rFonts w:hint="eastAsia" w:ascii="宋体" w:hAnsi="宋体"/>
                <w:color w:val="auto"/>
                <w:kern w:val="0"/>
                <w:sz w:val="24"/>
                <w:highlight w:val="none"/>
              </w:rPr>
            </w:pP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20000</w:t>
            </w:r>
          </w:p>
        </w:tc>
        <w:tc>
          <w:tcPr>
            <w:tcW w:w="900" w:type="dxa"/>
            <w:vMerge w:val="continue"/>
            <w:noWrap w:val="0"/>
            <w:vAlign w:val="center"/>
          </w:tcPr>
          <w:p>
            <w:pPr>
              <w:jc w:val="center"/>
              <w:rPr>
                <w:rFonts w:hint="eastAsia" w:ascii="宋体" w:hAnsi="宋体"/>
                <w:color w:val="auto"/>
                <w:kern w:val="0"/>
                <w:sz w:val="24"/>
                <w:highlight w:val="none"/>
              </w:rPr>
            </w:pPr>
          </w:p>
        </w:tc>
        <w:tc>
          <w:tcPr>
            <w:tcW w:w="1034" w:type="dxa"/>
            <w:vMerge w:val="continue"/>
            <w:noWrap w:val="0"/>
            <w:vAlign w:val="center"/>
          </w:tcPr>
          <w:p>
            <w:pPr>
              <w:jc w:val="center"/>
              <w:rPr>
                <w:rFonts w:hint="eastAsia" w:ascii="宋体" w:hAnsi="宋体"/>
                <w:color w:val="auto"/>
                <w:kern w:val="0"/>
                <w:sz w:val="24"/>
                <w:highlight w:val="none"/>
              </w:rPr>
            </w:pPr>
          </w:p>
        </w:tc>
        <w:tc>
          <w:tcPr>
            <w:tcW w:w="1271" w:type="dxa"/>
            <w:vMerge w:val="continue"/>
            <w:noWrap w:val="0"/>
            <w:vAlign w:val="center"/>
          </w:tcPr>
          <w:p>
            <w:pPr>
              <w:jc w:val="center"/>
              <w:rPr>
                <w:rFonts w:hint="eastAsia" w:ascii="宋体" w:hAnsi="宋体"/>
                <w:color w:val="auto"/>
                <w:kern w:val="0"/>
                <w:sz w:val="24"/>
                <w:highlight w:val="none"/>
              </w:rPr>
            </w:pPr>
          </w:p>
        </w:tc>
        <w:tc>
          <w:tcPr>
            <w:tcW w:w="2861" w:type="dxa"/>
            <w:noWrap w:val="0"/>
            <w:vAlign w:val="center"/>
          </w:tcPr>
          <w:p>
            <w:pPr>
              <w:jc w:val="left"/>
              <w:rPr>
                <w:rFonts w:hint="eastAsia" w:ascii="宋体" w:hAnsi="宋体"/>
                <w:color w:val="auto"/>
                <w:kern w:val="0"/>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restart"/>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20</w:t>
            </w:r>
          </w:p>
        </w:tc>
        <w:tc>
          <w:tcPr>
            <w:tcW w:w="1904"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太中银铁路有限责任公司</w:t>
            </w:r>
          </w:p>
        </w:tc>
        <w:tc>
          <w:tcPr>
            <w:tcW w:w="2283" w:type="dxa"/>
            <w:vMerge w:val="restart"/>
            <w:noWrap w:val="0"/>
            <w:vAlign w:val="center"/>
          </w:tcPr>
          <w:p>
            <w:pPr>
              <w:jc w:val="center"/>
              <w:rPr>
                <w:rFonts w:hint="eastAsia" w:ascii="宋体" w:hAnsi="宋体"/>
                <w:color w:val="auto"/>
                <w:kern w:val="0"/>
                <w:sz w:val="24"/>
                <w:highlight w:val="none"/>
              </w:rPr>
            </w:pPr>
            <w:r>
              <w:rPr>
                <w:rFonts w:hint="eastAsia" w:ascii="宋体" w:hAnsi="宋体"/>
                <w:color w:val="auto"/>
                <w:kern w:val="0"/>
                <w:sz w:val="24"/>
                <w:highlight w:val="none"/>
              </w:rPr>
              <w:t>吴忠市红寺堡县红寺堡镇弘德社区</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20000</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eastAsia="宋体"/>
                <w:color w:val="auto"/>
                <w:kern w:val="0"/>
                <w:sz w:val="24"/>
                <w:highlight w:val="none"/>
                <w:lang w:eastAsia="zh-CN"/>
              </w:rPr>
            </w:pPr>
          </w:p>
        </w:tc>
        <w:tc>
          <w:tcPr>
            <w:tcW w:w="1271"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一级</w:t>
            </w:r>
          </w:p>
        </w:tc>
        <w:tc>
          <w:tcPr>
            <w:tcW w:w="2861" w:type="dxa"/>
            <w:noWrap w:val="0"/>
            <w:vAlign w:val="center"/>
          </w:tcPr>
          <w:p>
            <w:pPr>
              <w:jc w:val="left"/>
              <w:rPr>
                <w:rFonts w:hint="eastAsia" w:ascii="宋体" w:hAnsi="宋体"/>
                <w:color w:val="auto"/>
                <w:kern w:val="0"/>
                <w:sz w:val="24"/>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continue"/>
            <w:noWrap w:val="0"/>
            <w:vAlign w:val="center"/>
          </w:tcPr>
          <w:p>
            <w:pPr>
              <w:jc w:val="center"/>
              <w:rPr>
                <w:rFonts w:hint="eastAsia" w:ascii="宋体" w:hAnsi="宋体"/>
                <w:color w:val="auto"/>
                <w:kern w:val="0"/>
                <w:sz w:val="24"/>
                <w:highlight w:val="none"/>
              </w:rPr>
            </w:pPr>
          </w:p>
        </w:tc>
        <w:tc>
          <w:tcPr>
            <w:tcW w:w="1904" w:type="dxa"/>
            <w:vMerge w:val="continue"/>
            <w:noWrap w:val="0"/>
            <w:vAlign w:val="center"/>
          </w:tcPr>
          <w:p>
            <w:pPr>
              <w:jc w:val="left"/>
              <w:rPr>
                <w:rFonts w:hint="eastAsia" w:ascii="宋体" w:hAnsi="宋体"/>
                <w:color w:val="auto"/>
                <w:kern w:val="0"/>
                <w:sz w:val="24"/>
                <w:highlight w:val="none"/>
              </w:rPr>
            </w:pPr>
          </w:p>
        </w:tc>
        <w:tc>
          <w:tcPr>
            <w:tcW w:w="2283" w:type="dxa"/>
            <w:vMerge w:val="continue"/>
            <w:noWrap w:val="0"/>
            <w:vAlign w:val="center"/>
          </w:tcPr>
          <w:p>
            <w:pPr>
              <w:jc w:val="center"/>
              <w:rPr>
                <w:rFonts w:hint="eastAsia" w:ascii="宋体" w:hAnsi="宋体"/>
                <w:color w:val="auto"/>
                <w:kern w:val="0"/>
                <w:sz w:val="24"/>
                <w:highlight w:val="none"/>
              </w:rPr>
            </w:pP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20000</w:t>
            </w:r>
          </w:p>
        </w:tc>
        <w:tc>
          <w:tcPr>
            <w:tcW w:w="900" w:type="dxa"/>
            <w:vMerge w:val="continue"/>
            <w:noWrap w:val="0"/>
            <w:vAlign w:val="center"/>
          </w:tcPr>
          <w:p>
            <w:pPr>
              <w:jc w:val="center"/>
              <w:rPr>
                <w:rFonts w:hint="eastAsia" w:ascii="宋体" w:hAnsi="宋体"/>
                <w:color w:val="auto"/>
                <w:kern w:val="0"/>
                <w:sz w:val="24"/>
                <w:highlight w:val="none"/>
              </w:rPr>
            </w:pPr>
          </w:p>
        </w:tc>
        <w:tc>
          <w:tcPr>
            <w:tcW w:w="1034" w:type="dxa"/>
            <w:vMerge w:val="continue"/>
            <w:noWrap w:val="0"/>
            <w:vAlign w:val="center"/>
          </w:tcPr>
          <w:p>
            <w:pPr>
              <w:jc w:val="center"/>
              <w:rPr>
                <w:rFonts w:hint="eastAsia" w:ascii="宋体" w:hAnsi="宋体"/>
                <w:color w:val="auto"/>
                <w:kern w:val="0"/>
                <w:sz w:val="24"/>
                <w:highlight w:val="none"/>
              </w:rPr>
            </w:pPr>
          </w:p>
        </w:tc>
        <w:tc>
          <w:tcPr>
            <w:tcW w:w="1271" w:type="dxa"/>
            <w:vMerge w:val="continue"/>
            <w:noWrap w:val="0"/>
            <w:vAlign w:val="center"/>
          </w:tcPr>
          <w:p>
            <w:pPr>
              <w:jc w:val="center"/>
              <w:rPr>
                <w:rFonts w:hint="eastAsia" w:ascii="宋体" w:hAnsi="宋体"/>
                <w:color w:val="auto"/>
                <w:kern w:val="0"/>
                <w:sz w:val="24"/>
                <w:highlight w:val="none"/>
              </w:rPr>
            </w:pPr>
          </w:p>
        </w:tc>
        <w:tc>
          <w:tcPr>
            <w:tcW w:w="2861" w:type="dxa"/>
            <w:noWrap w:val="0"/>
            <w:vAlign w:val="center"/>
          </w:tcPr>
          <w:p>
            <w:pPr>
              <w:jc w:val="left"/>
              <w:rPr>
                <w:rFonts w:hint="eastAsia" w:ascii="宋体" w:hAnsi="宋体"/>
                <w:color w:val="auto"/>
                <w:kern w:val="0"/>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restart"/>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21</w:t>
            </w:r>
          </w:p>
        </w:tc>
        <w:tc>
          <w:tcPr>
            <w:tcW w:w="1904" w:type="dxa"/>
            <w:vMerge w:val="restart"/>
            <w:noWrap w:val="0"/>
            <w:vAlign w:val="center"/>
          </w:tcPr>
          <w:p>
            <w:pPr>
              <w:jc w:val="center"/>
              <w:rPr>
                <w:rFonts w:hint="eastAsia" w:ascii="宋体" w:hAnsi="宋体"/>
                <w:color w:val="auto"/>
                <w:kern w:val="0"/>
                <w:sz w:val="24"/>
                <w:szCs w:val="22"/>
                <w:highlight w:val="none"/>
                <w:lang w:eastAsia="zh-CN"/>
              </w:rPr>
            </w:pPr>
            <w:r>
              <w:rPr>
                <w:rFonts w:hint="eastAsia" w:ascii="宋体" w:hAnsi="宋体"/>
                <w:color w:val="auto"/>
                <w:kern w:val="0"/>
                <w:sz w:val="24"/>
                <w:szCs w:val="22"/>
                <w:highlight w:val="none"/>
                <w:lang w:eastAsia="zh-CN"/>
              </w:rPr>
              <w:t>宁夏城际铁路有限责任公司</w:t>
            </w:r>
          </w:p>
        </w:tc>
        <w:tc>
          <w:tcPr>
            <w:tcW w:w="2283" w:type="dxa"/>
            <w:vMerge w:val="restart"/>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rPr>
              <w:t>吴忠市红寺堡县红寺堡镇创业社区创业路</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3775</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271"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一级</w:t>
            </w:r>
          </w:p>
        </w:tc>
        <w:tc>
          <w:tcPr>
            <w:tcW w:w="2861" w:type="dxa"/>
            <w:noWrap w:val="0"/>
            <w:vAlign w:val="center"/>
          </w:tcPr>
          <w:p>
            <w:pPr>
              <w:jc w:val="left"/>
              <w:rPr>
                <w:rFonts w:hint="eastAsia" w:ascii="宋体" w:hAnsi="宋体"/>
                <w:color w:val="auto"/>
                <w:kern w:val="0"/>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continue"/>
            <w:noWrap w:val="0"/>
            <w:vAlign w:val="center"/>
          </w:tcPr>
          <w:p>
            <w:pPr>
              <w:jc w:val="left"/>
              <w:rPr>
                <w:rFonts w:ascii="宋体" w:hAnsi="宋体"/>
                <w:color w:val="auto"/>
                <w:kern w:val="0"/>
                <w:sz w:val="24"/>
                <w:highlight w:val="none"/>
              </w:rPr>
            </w:pPr>
          </w:p>
        </w:tc>
        <w:tc>
          <w:tcPr>
            <w:tcW w:w="1904" w:type="dxa"/>
            <w:vMerge w:val="continue"/>
            <w:noWrap w:val="0"/>
            <w:vAlign w:val="center"/>
          </w:tcPr>
          <w:p>
            <w:pPr>
              <w:jc w:val="center"/>
              <w:rPr>
                <w:rFonts w:hint="eastAsia" w:ascii="宋体" w:hAnsi="宋体"/>
                <w:color w:val="auto"/>
                <w:kern w:val="0"/>
                <w:sz w:val="24"/>
                <w:szCs w:val="22"/>
                <w:highlight w:val="none"/>
                <w:lang w:eastAsia="zh-CN"/>
              </w:rPr>
            </w:pPr>
          </w:p>
        </w:tc>
        <w:tc>
          <w:tcPr>
            <w:tcW w:w="2283" w:type="dxa"/>
            <w:vMerge w:val="continue"/>
            <w:noWrap w:val="0"/>
            <w:vAlign w:val="center"/>
          </w:tcPr>
          <w:p>
            <w:pPr>
              <w:jc w:val="left"/>
              <w:rPr>
                <w:rFonts w:ascii="宋体" w:hAnsi="宋体"/>
                <w:color w:val="auto"/>
                <w:kern w:val="0"/>
                <w:sz w:val="24"/>
                <w:highlight w:val="none"/>
              </w:rPr>
            </w:pP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3365</w:t>
            </w:r>
          </w:p>
        </w:tc>
        <w:tc>
          <w:tcPr>
            <w:tcW w:w="900" w:type="dxa"/>
            <w:vMerge w:val="continue"/>
            <w:noWrap w:val="0"/>
            <w:vAlign w:val="center"/>
          </w:tcPr>
          <w:p>
            <w:pPr>
              <w:jc w:val="left"/>
              <w:rPr>
                <w:rFonts w:ascii="宋体" w:hAnsi="宋体"/>
                <w:color w:val="auto"/>
                <w:kern w:val="0"/>
                <w:sz w:val="24"/>
                <w:highlight w:val="none"/>
              </w:rPr>
            </w:pPr>
          </w:p>
        </w:tc>
        <w:tc>
          <w:tcPr>
            <w:tcW w:w="1034" w:type="dxa"/>
            <w:vMerge w:val="continue"/>
            <w:noWrap w:val="0"/>
            <w:vAlign w:val="center"/>
          </w:tcPr>
          <w:p>
            <w:pPr>
              <w:jc w:val="left"/>
              <w:rPr>
                <w:rFonts w:ascii="宋体" w:hAnsi="宋体"/>
                <w:color w:val="auto"/>
                <w:kern w:val="0"/>
                <w:sz w:val="24"/>
                <w:highlight w:val="none"/>
              </w:rPr>
            </w:pPr>
          </w:p>
        </w:tc>
        <w:tc>
          <w:tcPr>
            <w:tcW w:w="1271" w:type="dxa"/>
            <w:vMerge w:val="continue"/>
            <w:noWrap w:val="0"/>
            <w:vAlign w:val="center"/>
          </w:tcPr>
          <w:p>
            <w:pPr>
              <w:jc w:val="left"/>
              <w:rPr>
                <w:rFonts w:ascii="宋体" w:hAnsi="宋体"/>
                <w:color w:val="auto"/>
                <w:kern w:val="0"/>
                <w:sz w:val="24"/>
                <w:highlight w:val="none"/>
              </w:rPr>
            </w:pPr>
          </w:p>
        </w:tc>
        <w:tc>
          <w:tcPr>
            <w:tcW w:w="2861" w:type="dxa"/>
            <w:noWrap w:val="0"/>
            <w:vAlign w:val="center"/>
          </w:tcPr>
          <w:p>
            <w:pPr>
              <w:jc w:val="left"/>
              <w:rPr>
                <w:rFonts w:hint="eastAsia" w:ascii="宋体" w:hAnsi="宋体"/>
                <w:color w:val="auto"/>
                <w:kern w:val="0"/>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restart"/>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22</w:t>
            </w:r>
          </w:p>
        </w:tc>
        <w:tc>
          <w:tcPr>
            <w:tcW w:w="1904" w:type="dxa"/>
            <w:vMerge w:val="restart"/>
            <w:noWrap w:val="0"/>
            <w:vAlign w:val="center"/>
          </w:tcPr>
          <w:p>
            <w:pPr>
              <w:jc w:val="center"/>
              <w:rPr>
                <w:rFonts w:hint="eastAsia" w:ascii="宋体" w:hAnsi="宋体"/>
                <w:color w:val="auto"/>
                <w:kern w:val="0"/>
                <w:sz w:val="24"/>
                <w:szCs w:val="22"/>
                <w:highlight w:val="none"/>
                <w:lang w:eastAsia="zh-CN"/>
              </w:rPr>
            </w:pPr>
            <w:r>
              <w:rPr>
                <w:rFonts w:hint="eastAsia" w:ascii="宋体" w:hAnsi="宋体"/>
                <w:color w:val="auto"/>
                <w:kern w:val="0"/>
                <w:sz w:val="24"/>
                <w:szCs w:val="22"/>
                <w:highlight w:val="none"/>
                <w:lang w:eastAsia="zh-CN"/>
              </w:rPr>
              <w:t>银西铁路有限公司（红寺堡）</w:t>
            </w:r>
          </w:p>
        </w:tc>
        <w:tc>
          <w:tcPr>
            <w:tcW w:w="2283" w:type="dxa"/>
            <w:vMerge w:val="restart"/>
            <w:noWrap w:val="0"/>
            <w:vAlign w:val="center"/>
          </w:tcPr>
          <w:p>
            <w:pPr>
              <w:jc w:val="center"/>
              <w:rPr>
                <w:rFonts w:hint="eastAsia" w:ascii="宋体" w:hAnsi="宋体"/>
                <w:color w:val="auto"/>
                <w:kern w:val="0"/>
                <w:sz w:val="24"/>
                <w:highlight w:val="none"/>
              </w:rPr>
            </w:pPr>
            <w:r>
              <w:rPr>
                <w:rFonts w:hint="eastAsia" w:ascii="宋体" w:hAnsi="宋体"/>
                <w:color w:val="auto"/>
                <w:kern w:val="0"/>
                <w:sz w:val="24"/>
                <w:highlight w:val="none"/>
              </w:rPr>
              <w:t>吴忠市红寺堡县太阳山经济开发区</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45000</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eastAsia="宋体"/>
                <w:color w:val="auto"/>
                <w:kern w:val="0"/>
                <w:sz w:val="24"/>
                <w:highlight w:val="none"/>
                <w:lang w:eastAsia="zh-CN"/>
              </w:rPr>
            </w:pPr>
          </w:p>
        </w:tc>
        <w:tc>
          <w:tcPr>
            <w:tcW w:w="1271" w:type="dxa"/>
            <w:vMerge w:val="restart"/>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eastAsia="zh-CN"/>
              </w:rPr>
              <w:t>一级</w:t>
            </w:r>
          </w:p>
        </w:tc>
        <w:tc>
          <w:tcPr>
            <w:tcW w:w="2861" w:type="dxa"/>
            <w:noWrap w:val="0"/>
            <w:vAlign w:val="center"/>
          </w:tcPr>
          <w:p>
            <w:pPr>
              <w:jc w:val="left"/>
              <w:rPr>
                <w:rFonts w:hint="eastAsia" w:ascii="宋体" w:hAnsi="宋体"/>
                <w:color w:val="auto"/>
                <w:kern w:val="0"/>
                <w:sz w:val="24"/>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continue"/>
            <w:noWrap w:val="0"/>
            <w:vAlign w:val="center"/>
          </w:tcPr>
          <w:p>
            <w:pPr>
              <w:jc w:val="center"/>
              <w:rPr>
                <w:rFonts w:hint="eastAsia" w:ascii="宋体" w:hAnsi="宋体"/>
                <w:color w:val="auto"/>
                <w:kern w:val="0"/>
                <w:sz w:val="24"/>
                <w:highlight w:val="none"/>
              </w:rPr>
            </w:pPr>
          </w:p>
        </w:tc>
        <w:tc>
          <w:tcPr>
            <w:tcW w:w="1904" w:type="dxa"/>
            <w:vMerge w:val="continue"/>
            <w:noWrap w:val="0"/>
            <w:vAlign w:val="center"/>
          </w:tcPr>
          <w:p>
            <w:pPr>
              <w:jc w:val="center"/>
              <w:rPr>
                <w:rFonts w:hint="eastAsia" w:ascii="宋体" w:hAnsi="宋体"/>
                <w:color w:val="auto"/>
                <w:kern w:val="0"/>
                <w:sz w:val="24"/>
                <w:szCs w:val="22"/>
                <w:highlight w:val="none"/>
                <w:lang w:eastAsia="zh-CN"/>
              </w:rPr>
            </w:pPr>
          </w:p>
        </w:tc>
        <w:tc>
          <w:tcPr>
            <w:tcW w:w="2283" w:type="dxa"/>
            <w:vMerge w:val="continue"/>
            <w:noWrap w:val="0"/>
            <w:vAlign w:val="center"/>
          </w:tcPr>
          <w:p>
            <w:pPr>
              <w:jc w:val="center"/>
              <w:rPr>
                <w:rFonts w:hint="eastAsia" w:ascii="宋体" w:hAnsi="宋体"/>
                <w:color w:val="auto"/>
                <w:kern w:val="0"/>
                <w:sz w:val="24"/>
                <w:highlight w:val="none"/>
              </w:rPr>
            </w:pP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45000</w:t>
            </w:r>
          </w:p>
        </w:tc>
        <w:tc>
          <w:tcPr>
            <w:tcW w:w="900" w:type="dxa"/>
            <w:vMerge w:val="continue"/>
            <w:noWrap w:val="0"/>
            <w:vAlign w:val="center"/>
          </w:tcPr>
          <w:p>
            <w:pPr>
              <w:jc w:val="center"/>
              <w:rPr>
                <w:rFonts w:hint="eastAsia" w:ascii="宋体" w:hAnsi="宋体"/>
                <w:color w:val="auto"/>
                <w:kern w:val="0"/>
                <w:sz w:val="24"/>
                <w:highlight w:val="none"/>
              </w:rPr>
            </w:pPr>
          </w:p>
        </w:tc>
        <w:tc>
          <w:tcPr>
            <w:tcW w:w="1034" w:type="dxa"/>
            <w:vMerge w:val="continue"/>
            <w:noWrap w:val="0"/>
            <w:vAlign w:val="center"/>
          </w:tcPr>
          <w:p>
            <w:pPr>
              <w:jc w:val="center"/>
              <w:rPr>
                <w:rFonts w:hint="eastAsia" w:ascii="宋体" w:hAnsi="宋体"/>
                <w:color w:val="auto"/>
                <w:kern w:val="0"/>
                <w:sz w:val="24"/>
                <w:highlight w:val="none"/>
              </w:rPr>
            </w:pPr>
          </w:p>
        </w:tc>
        <w:tc>
          <w:tcPr>
            <w:tcW w:w="1271" w:type="dxa"/>
            <w:vMerge w:val="continue"/>
            <w:noWrap w:val="0"/>
            <w:vAlign w:val="center"/>
          </w:tcPr>
          <w:p>
            <w:pPr>
              <w:jc w:val="center"/>
              <w:rPr>
                <w:rFonts w:hint="eastAsia" w:ascii="宋体" w:hAnsi="宋体"/>
                <w:color w:val="auto"/>
                <w:kern w:val="0"/>
                <w:sz w:val="24"/>
                <w:highlight w:val="none"/>
              </w:rPr>
            </w:pPr>
          </w:p>
        </w:tc>
        <w:tc>
          <w:tcPr>
            <w:tcW w:w="2861" w:type="dxa"/>
            <w:noWrap w:val="0"/>
            <w:vAlign w:val="center"/>
          </w:tcPr>
          <w:p>
            <w:pPr>
              <w:jc w:val="left"/>
              <w:rPr>
                <w:rFonts w:hint="eastAsia" w:ascii="宋体" w:hAnsi="宋体"/>
                <w:color w:val="auto"/>
                <w:kern w:val="0"/>
                <w:sz w:val="24"/>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restart"/>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23</w:t>
            </w:r>
          </w:p>
        </w:tc>
        <w:tc>
          <w:tcPr>
            <w:tcW w:w="1904" w:type="dxa"/>
            <w:vMerge w:val="restart"/>
            <w:noWrap w:val="0"/>
            <w:vAlign w:val="center"/>
          </w:tcPr>
          <w:p>
            <w:pPr>
              <w:jc w:val="center"/>
              <w:rPr>
                <w:rFonts w:hint="eastAsia" w:ascii="宋体" w:hAnsi="宋体"/>
                <w:color w:val="auto"/>
                <w:kern w:val="0"/>
                <w:sz w:val="24"/>
                <w:szCs w:val="22"/>
                <w:highlight w:val="none"/>
                <w:lang w:val="en-US" w:eastAsia="zh-CN"/>
              </w:rPr>
            </w:pPr>
            <w:r>
              <w:rPr>
                <w:rFonts w:hint="eastAsia" w:ascii="宋体" w:hAnsi="宋体"/>
                <w:color w:val="auto"/>
                <w:kern w:val="0"/>
                <w:sz w:val="24"/>
                <w:szCs w:val="22"/>
                <w:highlight w:val="none"/>
                <w:lang w:val="en-US" w:eastAsia="zh-CN"/>
              </w:rPr>
              <w:t>兰州铁路局银川供电段（同心）</w:t>
            </w:r>
          </w:p>
        </w:tc>
        <w:tc>
          <w:tcPr>
            <w:tcW w:w="2283" w:type="dxa"/>
            <w:vMerge w:val="restart"/>
            <w:noWrap w:val="0"/>
            <w:vAlign w:val="center"/>
          </w:tcPr>
          <w:p>
            <w:pPr>
              <w:jc w:val="center"/>
              <w:rPr>
                <w:rFonts w:hint="eastAsia" w:ascii="宋体" w:hAnsi="宋体"/>
                <w:color w:val="auto"/>
                <w:kern w:val="0"/>
                <w:sz w:val="24"/>
                <w:highlight w:val="none"/>
              </w:rPr>
            </w:pPr>
            <w:r>
              <w:rPr>
                <w:rFonts w:hint="eastAsia" w:ascii="宋体" w:hAnsi="宋体"/>
                <w:color w:val="auto"/>
                <w:kern w:val="0"/>
                <w:sz w:val="24"/>
                <w:highlight w:val="none"/>
              </w:rPr>
              <w:t>吴忠市同心县下马关镇北关村北关路北关队</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20000</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eastAsia="宋体"/>
                <w:color w:val="auto"/>
                <w:kern w:val="0"/>
                <w:sz w:val="24"/>
                <w:highlight w:val="none"/>
                <w:lang w:eastAsia="zh-CN"/>
              </w:rPr>
            </w:pPr>
          </w:p>
        </w:tc>
        <w:tc>
          <w:tcPr>
            <w:tcW w:w="1271" w:type="dxa"/>
            <w:vMerge w:val="restart"/>
            <w:noWrap w:val="0"/>
            <w:vAlign w:val="center"/>
          </w:tcPr>
          <w:p>
            <w:pPr>
              <w:jc w:val="center"/>
              <w:rPr>
                <w:rFonts w:hint="eastAsia" w:ascii="宋体" w:hAnsi="宋体"/>
                <w:color w:val="auto"/>
                <w:kern w:val="0"/>
                <w:sz w:val="24"/>
                <w:highlight w:val="none"/>
              </w:rPr>
            </w:pPr>
            <w:r>
              <w:rPr>
                <w:rFonts w:hint="eastAsia" w:ascii="宋体" w:hAnsi="宋体"/>
                <w:color w:val="auto"/>
                <w:kern w:val="0"/>
                <w:sz w:val="24"/>
                <w:highlight w:val="none"/>
                <w:lang w:eastAsia="zh-CN"/>
              </w:rPr>
              <w:t>一级</w:t>
            </w:r>
          </w:p>
        </w:tc>
        <w:tc>
          <w:tcPr>
            <w:tcW w:w="2861" w:type="dxa"/>
            <w:noWrap w:val="0"/>
            <w:vAlign w:val="center"/>
          </w:tcPr>
          <w:p>
            <w:pPr>
              <w:jc w:val="left"/>
              <w:rPr>
                <w:rFonts w:hint="eastAsia" w:ascii="宋体" w:hAnsi="宋体"/>
                <w:color w:val="auto"/>
                <w:kern w:val="0"/>
                <w:sz w:val="24"/>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continue"/>
            <w:noWrap w:val="0"/>
            <w:vAlign w:val="center"/>
          </w:tcPr>
          <w:p>
            <w:pPr>
              <w:jc w:val="center"/>
              <w:rPr>
                <w:rFonts w:hint="eastAsia" w:ascii="宋体" w:hAnsi="宋体"/>
                <w:color w:val="auto"/>
                <w:kern w:val="0"/>
                <w:sz w:val="24"/>
                <w:highlight w:val="none"/>
              </w:rPr>
            </w:pPr>
          </w:p>
        </w:tc>
        <w:tc>
          <w:tcPr>
            <w:tcW w:w="1904" w:type="dxa"/>
            <w:vMerge w:val="continue"/>
            <w:noWrap w:val="0"/>
            <w:vAlign w:val="center"/>
          </w:tcPr>
          <w:p>
            <w:pPr>
              <w:jc w:val="left"/>
              <w:rPr>
                <w:rFonts w:hint="eastAsia"/>
                <w:color w:val="auto"/>
                <w:highlight w:val="none"/>
                <w:lang w:val="en-US"/>
              </w:rPr>
            </w:pPr>
          </w:p>
        </w:tc>
        <w:tc>
          <w:tcPr>
            <w:tcW w:w="2283" w:type="dxa"/>
            <w:vMerge w:val="continue"/>
            <w:noWrap w:val="0"/>
            <w:vAlign w:val="center"/>
          </w:tcPr>
          <w:p>
            <w:pPr>
              <w:jc w:val="center"/>
              <w:rPr>
                <w:rFonts w:hint="eastAsia" w:ascii="宋体" w:hAnsi="宋体"/>
                <w:color w:val="auto"/>
                <w:kern w:val="0"/>
                <w:sz w:val="24"/>
                <w:highlight w:val="none"/>
              </w:rPr>
            </w:pP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20000</w:t>
            </w:r>
          </w:p>
        </w:tc>
        <w:tc>
          <w:tcPr>
            <w:tcW w:w="900" w:type="dxa"/>
            <w:vMerge w:val="continue"/>
            <w:noWrap w:val="0"/>
            <w:vAlign w:val="center"/>
          </w:tcPr>
          <w:p>
            <w:pPr>
              <w:jc w:val="center"/>
              <w:rPr>
                <w:rFonts w:hint="eastAsia" w:ascii="宋体" w:hAnsi="宋体"/>
                <w:color w:val="auto"/>
                <w:kern w:val="0"/>
                <w:sz w:val="24"/>
                <w:highlight w:val="none"/>
              </w:rPr>
            </w:pPr>
          </w:p>
        </w:tc>
        <w:tc>
          <w:tcPr>
            <w:tcW w:w="1034" w:type="dxa"/>
            <w:vMerge w:val="continue"/>
            <w:noWrap w:val="0"/>
            <w:vAlign w:val="center"/>
          </w:tcPr>
          <w:p>
            <w:pPr>
              <w:jc w:val="center"/>
              <w:rPr>
                <w:rFonts w:hint="eastAsia" w:ascii="宋体" w:hAnsi="宋体"/>
                <w:color w:val="auto"/>
                <w:kern w:val="0"/>
                <w:sz w:val="24"/>
                <w:highlight w:val="none"/>
              </w:rPr>
            </w:pPr>
          </w:p>
        </w:tc>
        <w:tc>
          <w:tcPr>
            <w:tcW w:w="1271" w:type="dxa"/>
            <w:vMerge w:val="continue"/>
            <w:noWrap w:val="0"/>
            <w:vAlign w:val="center"/>
          </w:tcPr>
          <w:p>
            <w:pPr>
              <w:jc w:val="center"/>
              <w:rPr>
                <w:rFonts w:hint="eastAsia" w:ascii="宋体" w:hAnsi="宋体"/>
                <w:color w:val="auto"/>
                <w:kern w:val="0"/>
                <w:sz w:val="24"/>
                <w:highlight w:val="none"/>
              </w:rPr>
            </w:pPr>
          </w:p>
        </w:tc>
        <w:tc>
          <w:tcPr>
            <w:tcW w:w="2861" w:type="dxa"/>
            <w:noWrap w:val="0"/>
            <w:vAlign w:val="center"/>
          </w:tcPr>
          <w:p>
            <w:pPr>
              <w:jc w:val="left"/>
              <w:rPr>
                <w:rFonts w:hint="eastAsia" w:ascii="宋体" w:hAnsi="宋体"/>
                <w:color w:val="auto"/>
                <w:kern w:val="0"/>
                <w:sz w:val="24"/>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restart"/>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24</w:t>
            </w:r>
          </w:p>
        </w:tc>
        <w:tc>
          <w:tcPr>
            <w:tcW w:w="1904"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吴忠市人民医院</w:t>
            </w:r>
          </w:p>
        </w:tc>
        <w:tc>
          <w:tcPr>
            <w:tcW w:w="2283" w:type="dxa"/>
            <w:vMerge w:val="restart"/>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rPr>
              <w:t>吴忠市利通区古城镇清宁河社区</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8550</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eastAsia="宋体"/>
                <w:color w:val="auto"/>
                <w:kern w:val="0"/>
                <w:sz w:val="24"/>
                <w:highlight w:val="none"/>
                <w:lang w:eastAsia="zh-CN"/>
              </w:rPr>
            </w:pPr>
          </w:p>
        </w:tc>
        <w:tc>
          <w:tcPr>
            <w:tcW w:w="1271" w:type="dxa"/>
            <w:vMerge w:val="restart"/>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eastAsia="zh-CN"/>
              </w:rPr>
              <w:t>一级</w:t>
            </w:r>
          </w:p>
        </w:tc>
        <w:tc>
          <w:tcPr>
            <w:tcW w:w="2861" w:type="dxa"/>
            <w:noWrap w:val="0"/>
            <w:vAlign w:val="center"/>
          </w:tcPr>
          <w:p>
            <w:pPr>
              <w:jc w:val="left"/>
              <w:rPr>
                <w:rFonts w:hint="eastAsia" w:ascii="宋体" w:hAnsi="宋体"/>
                <w:color w:val="auto"/>
                <w:kern w:val="0"/>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continue"/>
            <w:noWrap w:val="0"/>
            <w:vAlign w:val="center"/>
          </w:tcPr>
          <w:p>
            <w:pPr>
              <w:jc w:val="center"/>
              <w:rPr>
                <w:rFonts w:ascii="宋体" w:hAnsi="宋体"/>
                <w:color w:val="auto"/>
                <w:kern w:val="0"/>
                <w:sz w:val="24"/>
                <w:highlight w:val="none"/>
              </w:rPr>
            </w:pPr>
          </w:p>
        </w:tc>
        <w:tc>
          <w:tcPr>
            <w:tcW w:w="1904" w:type="dxa"/>
            <w:vMerge w:val="continue"/>
            <w:noWrap w:val="0"/>
            <w:vAlign w:val="center"/>
          </w:tcPr>
          <w:p>
            <w:pPr>
              <w:jc w:val="center"/>
              <w:rPr>
                <w:rFonts w:ascii="宋体" w:hAnsi="宋体"/>
                <w:color w:val="auto"/>
                <w:kern w:val="0"/>
                <w:sz w:val="24"/>
                <w:highlight w:val="none"/>
              </w:rPr>
            </w:pPr>
          </w:p>
        </w:tc>
        <w:tc>
          <w:tcPr>
            <w:tcW w:w="2283" w:type="dxa"/>
            <w:vMerge w:val="continue"/>
            <w:noWrap w:val="0"/>
            <w:vAlign w:val="center"/>
          </w:tcPr>
          <w:p>
            <w:pPr>
              <w:jc w:val="center"/>
              <w:rPr>
                <w:rFonts w:ascii="宋体" w:hAnsi="宋体"/>
                <w:color w:val="auto"/>
                <w:kern w:val="0"/>
                <w:sz w:val="24"/>
                <w:highlight w:val="none"/>
              </w:rPr>
            </w:pP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7250</w:t>
            </w:r>
          </w:p>
        </w:tc>
        <w:tc>
          <w:tcPr>
            <w:tcW w:w="900" w:type="dxa"/>
            <w:vMerge w:val="continue"/>
            <w:noWrap w:val="0"/>
            <w:vAlign w:val="center"/>
          </w:tcPr>
          <w:p>
            <w:pPr>
              <w:jc w:val="center"/>
              <w:rPr>
                <w:rFonts w:ascii="宋体" w:hAnsi="宋体"/>
                <w:color w:val="auto"/>
                <w:kern w:val="0"/>
                <w:sz w:val="24"/>
                <w:highlight w:val="none"/>
              </w:rPr>
            </w:pPr>
          </w:p>
        </w:tc>
        <w:tc>
          <w:tcPr>
            <w:tcW w:w="1034" w:type="dxa"/>
            <w:vMerge w:val="continue"/>
            <w:noWrap w:val="0"/>
            <w:vAlign w:val="center"/>
          </w:tcPr>
          <w:p>
            <w:pPr>
              <w:jc w:val="center"/>
              <w:rPr>
                <w:rFonts w:ascii="宋体" w:hAnsi="宋体"/>
                <w:color w:val="auto"/>
                <w:kern w:val="0"/>
                <w:sz w:val="24"/>
                <w:highlight w:val="none"/>
              </w:rPr>
            </w:pPr>
          </w:p>
        </w:tc>
        <w:tc>
          <w:tcPr>
            <w:tcW w:w="1271" w:type="dxa"/>
            <w:vMerge w:val="continue"/>
            <w:noWrap w:val="0"/>
            <w:vAlign w:val="center"/>
          </w:tcPr>
          <w:p>
            <w:pPr>
              <w:jc w:val="left"/>
              <w:rPr>
                <w:rFonts w:ascii="宋体" w:hAnsi="宋体"/>
                <w:color w:val="auto"/>
                <w:kern w:val="0"/>
                <w:sz w:val="24"/>
                <w:highlight w:val="none"/>
              </w:rPr>
            </w:pPr>
          </w:p>
        </w:tc>
        <w:tc>
          <w:tcPr>
            <w:tcW w:w="2861" w:type="dxa"/>
            <w:noWrap w:val="0"/>
            <w:vAlign w:val="center"/>
          </w:tcPr>
          <w:p>
            <w:pPr>
              <w:jc w:val="left"/>
              <w:rPr>
                <w:rFonts w:hint="eastAsia" w:ascii="宋体" w:hAnsi="宋体"/>
                <w:color w:val="auto"/>
                <w:kern w:val="0"/>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restart"/>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25</w:t>
            </w:r>
          </w:p>
        </w:tc>
        <w:tc>
          <w:tcPr>
            <w:tcW w:w="1904"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宁夏金岸明珠国有资本投资运营有限公司</w:t>
            </w:r>
          </w:p>
        </w:tc>
        <w:tc>
          <w:tcPr>
            <w:tcW w:w="2283" w:type="dxa"/>
            <w:vMerge w:val="restart"/>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rPr>
              <w:t>青铜峡市裕民街道青铜峡市黄河楼社区</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8930</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eastAsia="宋体"/>
                <w:color w:val="auto"/>
                <w:kern w:val="0"/>
                <w:sz w:val="24"/>
                <w:highlight w:val="none"/>
                <w:lang w:eastAsia="zh-CN"/>
              </w:rPr>
            </w:pPr>
          </w:p>
        </w:tc>
        <w:tc>
          <w:tcPr>
            <w:tcW w:w="1271" w:type="dxa"/>
            <w:vMerge w:val="restart"/>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lang w:eastAsia="zh-CN"/>
              </w:rPr>
              <w:t>二级</w:t>
            </w:r>
          </w:p>
        </w:tc>
        <w:tc>
          <w:tcPr>
            <w:tcW w:w="2861" w:type="dxa"/>
            <w:noWrap w:val="0"/>
            <w:vAlign w:val="center"/>
          </w:tcPr>
          <w:p>
            <w:pPr>
              <w:jc w:val="left"/>
              <w:rPr>
                <w:rFonts w:hint="eastAsia" w:ascii="宋体" w:hAnsi="宋体"/>
                <w:color w:val="auto"/>
                <w:kern w:val="0"/>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continue"/>
            <w:noWrap w:val="0"/>
            <w:vAlign w:val="center"/>
          </w:tcPr>
          <w:p>
            <w:pPr>
              <w:jc w:val="center"/>
              <w:rPr>
                <w:rFonts w:ascii="宋体" w:hAnsi="宋体"/>
                <w:color w:val="auto"/>
                <w:kern w:val="0"/>
                <w:sz w:val="24"/>
                <w:highlight w:val="none"/>
              </w:rPr>
            </w:pPr>
          </w:p>
        </w:tc>
        <w:tc>
          <w:tcPr>
            <w:tcW w:w="1904" w:type="dxa"/>
            <w:vMerge w:val="continue"/>
            <w:noWrap w:val="0"/>
            <w:vAlign w:val="center"/>
          </w:tcPr>
          <w:p>
            <w:pPr>
              <w:jc w:val="center"/>
              <w:rPr>
                <w:rFonts w:ascii="宋体" w:hAnsi="宋体"/>
                <w:color w:val="auto"/>
                <w:kern w:val="0"/>
                <w:sz w:val="24"/>
                <w:highlight w:val="none"/>
              </w:rPr>
            </w:pPr>
          </w:p>
        </w:tc>
        <w:tc>
          <w:tcPr>
            <w:tcW w:w="2283" w:type="dxa"/>
            <w:vMerge w:val="continue"/>
            <w:noWrap w:val="0"/>
            <w:vAlign w:val="center"/>
          </w:tcPr>
          <w:p>
            <w:pPr>
              <w:jc w:val="center"/>
              <w:rPr>
                <w:rFonts w:ascii="宋体" w:hAnsi="宋体"/>
                <w:color w:val="auto"/>
                <w:kern w:val="0"/>
                <w:sz w:val="24"/>
                <w:highlight w:val="none"/>
              </w:rPr>
            </w:pP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8580</w:t>
            </w:r>
          </w:p>
        </w:tc>
        <w:tc>
          <w:tcPr>
            <w:tcW w:w="900" w:type="dxa"/>
            <w:vMerge w:val="continue"/>
            <w:noWrap w:val="0"/>
            <w:vAlign w:val="center"/>
          </w:tcPr>
          <w:p>
            <w:pPr>
              <w:jc w:val="center"/>
              <w:rPr>
                <w:rFonts w:ascii="宋体" w:hAnsi="宋体"/>
                <w:color w:val="auto"/>
                <w:kern w:val="0"/>
                <w:sz w:val="24"/>
                <w:highlight w:val="none"/>
              </w:rPr>
            </w:pPr>
          </w:p>
        </w:tc>
        <w:tc>
          <w:tcPr>
            <w:tcW w:w="1034" w:type="dxa"/>
            <w:vMerge w:val="continue"/>
            <w:noWrap w:val="0"/>
            <w:vAlign w:val="center"/>
          </w:tcPr>
          <w:p>
            <w:pPr>
              <w:jc w:val="center"/>
              <w:rPr>
                <w:rFonts w:ascii="宋体" w:hAnsi="宋体"/>
                <w:color w:val="auto"/>
                <w:kern w:val="0"/>
                <w:sz w:val="24"/>
                <w:highlight w:val="none"/>
              </w:rPr>
            </w:pPr>
          </w:p>
        </w:tc>
        <w:tc>
          <w:tcPr>
            <w:tcW w:w="1271" w:type="dxa"/>
            <w:vMerge w:val="continue"/>
            <w:noWrap w:val="0"/>
            <w:vAlign w:val="center"/>
          </w:tcPr>
          <w:p>
            <w:pPr>
              <w:jc w:val="center"/>
              <w:rPr>
                <w:rFonts w:ascii="宋体" w:hAnsi="宋体"/>
                <w:color w:val="auto"/>
                <w:kern w:val="0"/>
                <w:sz w:val="24"/>
                <w:highlight w:val="none"/>
              </w:rPr>
            </w:pPr>
          </w:p>
        </w:tc>
        <w:tc>
          <w:tcPr>
            <w:tcW w:w="2861" w:type="dxa"/>
            <w:noWrap w:val="0"/>
            <w:vAlign w:val="center"/>
          </w:tcPr>
          <w:p>
            <w:pPr>
              <w:jc w:val="left"/>
              <w:rPr>
                <w:rFonts w:hint="eastAsia" w:ascii="宋体" w:hAnsi="宋体"/>
                <w:color w:val="auto"/>
                <w:kern w:val="0"/>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restart"/>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26</w:t>
            </w:r>
          </w:p>
        </w:tc>
        <w:tc>
          <w:tcPr>
            <w:tcW w:w="1904" w:type="dxa"/>
            <w:vMerge w:val="restart"/>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吴忠万达广场商业管理有限公司</w:t>
            </w:r>
          </w:p>
        </w:tc>
        <w:tc>
          <w:tcPr>
            <w:tcW w:w="2283" w:type="dxa"/>
            <w:vMerge w:val="restart"/>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rPr>
              <w:t>吴忠市利通区金星镇开元社区开元大道吴忠万达广场</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10400</w:t>
            </w:r>
          </w:p>
        </w:tc>
        <w:tc>
          <w:tcPr>
            <w:tcW w:w="900" w:type="dxa"/>
            <w:vMerge w:val="restart"/>
            <w:noWrap w:val="0"/>
            <w:vAlign w:val="center"/>
          </w:tcPr>
          <w:p>
            <w:pPr>
              <w:jc w:val="center"/>
              <w:rPr>
                <w:rFonts w:hint="eastAsia" w:ascii="宋体" w:hAnsi="宋体" w:eastAsia="宋体"/>
                <w:color w:val="auto"/>
                <w:kern w:val="0"/>
                <w:sz w:val="24"/>
                <w:highlight w:val="none"/>
                <w:lang w:val="en-US" w:eastAsia="zh-CN"/>
              </w:rPr>
            </w:pPr>
          </w:p>
        </w:tc>
        <w:tc>
          <w:tcPr>
            <w:tcW w:w="1034" w:type="dxa"/>
            <w:vMerge w:val="restart"/>
            <w:noWrap w:val="0"/>
            <w:vAlign w:val="center"/>
          </w:tcPr>
          <w:p>
            <w:pPr>
              <w:jc w:val="center"/>
              <w:rPr>
                <w:rFonts w:hint="eastAsia" w:ascii="宋体" w:hAnsi="宋体" w:eastAsia="宋体"/>
                <w:color w:val="auto"/>
                <w:kern w:val="0"/>
                <w:sz w:val="24"/>
                <w:highlight w:val="none"/>
                <w:lang w:eastAsia="zh-CN"/>
              </w:rPr>
            </w:pPr>
          </w:p>
        </w:tc>
        <w:tc>
          <w:tcPr>
            <w:tcW w:w="1271" w:type="dxa"/>
            <w:vMerge w:val="restart"/>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lang w:eastAsia="zh-CN"/>
              </w:rPr>
              <w:t>二级</w:t>
            </w:r>
          </w:p>
        </w:tc>
        <w:tc>
          <w:tcPr>
            <w:tcW w:w="2861" w:type="dxa"/>
            <w:noWrap w:val="0"/>
            <w:vAlign w:val="center"/>
          </w:tcPr>
          <w:p>
            <w:pPr>
              <w:jc w:val="left"/>
              <w:rPr>
                <w:rFonts w:hint="eastAsia" w:ascii="宋体" w:hAnsi="宋体"/>
                <w:color w:val="auto"/>
                <w:kern w:val="0"/>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6" w:type="dxa"/>
            <w:vMerge w:val="continue"/>
            <w:noWrap w:val="0"/>
            <w:vAlign w:val="center"/>
          </w:tcPr>
          <w:p>
            <w:pPr>
              <w:jc w:val="center"/>
              <w:rPr>
                <w:rFonts w:ascii="宋体" w:hAnsi="宋体"/>
                <w:color w:val="auto"/>
                <w:kern w:val="0"/>
                <w:sz w:val="24"/>
                <w:highlight w:val="none"/>
              </w:rPr>
            </w:pPr>
          </w:p>
        </w:tc>
        <w:tc>
          <w:tcPr>
            <w:tcW w:w="1904" w:type="dxa"/>
            <w:vMerge w:val="continue"/>
            <w:noWrap w:val="0"/>
            <w:vAlign w:val="center"/>
          </w:tcPr>
          <w:p>
            <w:pPr>
              <w:jc w:val="center"/>
              <w:rPr>
                <w:rFonts w:ascii="宋体" w:hAnsi="宋体"/>
                <w:color w:val="auto"/>
                <w:kern w:val="0"/>
                <w:sz w:val="24"/>
                <w:highlight w:val="none"/>
              </w:rPr>
            </w:pPr>
          </w:p>
        </w:tc>
        <w:tc>
          <w:tcPr>
            <w:tcW w:w="2283" w:type="dxa"/>
            <w:vMerge w:val="continue"/>
            <w:noWrap w:val="0"/>
            <w:vAlign w:val="center"/>
          </w:tcPr>
          <w:p>
            <w:pPr>
              <w:jc w:val="center"/>
              <w:rPr>
                <w:rFonts w:ascii="宋体" w:hAnsi="宋体"/>
                <w:color w:val="auto"/>
                <w:kern w:val="0"/>
                <w:sz w:val="24"/>
                <w:highlight w:val="none"/>
              </w:rPr>
            </w:pP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10400</w:t>
            </w:r>
          </w:p>
        </w:tc>
        <w:tc>
          <w:tcPr>
            <w:tcW w:w="900" w:type="dxa"/>
            <w:vMerge w:val="continue"/>
            <w:noWrap w:val="0"/>
            <w:vAlign w:val="center"/>
          </w:tcPr>
          <w:p>
            <w:pPr>
              <w:jc w:val="center"/>
              <w:rPr>
                <w:rFonts w:ascii="宋体" w:hAnsi="宋体"/>
                <w:color w:val="auto"/>
                <w:kern w:val="0"/>
                <w:sz w:val="24"/>
                <w:highlight w:val="none"/>
              </w:rPr>
            </w:pPr>
          </w:p>
        </w:tc>
        <w:tc>
          <w:tcPr>
            <w:tcW w:w="1034" w:type="dxa"/>
            <w:vMerge w:val="continue"/>
            <w:noWrap w:val="0"/>
            <w:vAlign w:val="center"/>
          </w:tcPr>
          <w:p>
            <w:pPr>
              <w:jc w:val="center"/>
              <w:rPr>
                <w:rFonts w:ascii="宋体" w:hAnsi="宋体"/>
                <w:color w:val="auto"/>
                <w:kern w:val="0"/>
                <w:sz w:val="24"/>
                <w:highlight w:val="none"/>
              </w:rPr>
            </w:pPr>
          </w:p>
        </w:tc>
        <w:tc>
          <w:tcPr>
            <w:tcW w:w="1271" w:type="dxa"/>
            <w:vMerge w:val="continue"/>
            <w:noWrap w:val="0"/>
            <w:vAlign w:val="center"/>
          </w:tcPr>
          <w:p>
            <w:pPr>
              <w:jc w:val="left"/>
              <w:rPr>
                <w:rFonts w:ascii="宋体" w:hAnsi="宋体"/>
                <w:color w:val="auto"/>
                <w:kern w:val="0"/>
                <w:sz w:val="24"/>
                <w:highlight w:val="none"/>
              </w:rPr>
            </w:pPr>
          </w:p>
        </w:tc>
        <w:tc>
          <w:tcPr>
            <w:tcW w:w="2861" w:type="dxa"/>
            <w:noWrap w:val="0"/>
            <w:vAlign w:val="center"/>
          </w:tcPr>
          <w:p>
            <w:pPr>
              <w:jc w:val="left"/>
              <w:rPr>
                <w:rFonts w:hint="eastAsia" w:ascii="宋体" w:hAnsi="宋体"/>
                <w:color w:val="auto"/>
                <w:kern w:val="0"/>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jc w:val="center"/>
        </w:trPr>
        <w:tc>
          <w:tcPr>
            <w:tcW w:w="556" w:type="dxa"/>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27</w:t>
            </w:r>
          </w:p>
        </w:tc>
        <w:tc>
          <w:tcPr>
            <w:tcW w:w="1904" w:type="dxa"/>
            <w:noWrap w:val="0"/>
            <w:vAlign w:val="center"/>
          </w:tcPr>
          <w:p>
            <w:pPr>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吴忠市国贸百货有限公司</w:t>
            </w:r>
          </w:p>
        </w:tc>
        <w:tc>
          <w:tcPr>
            <w:tcW w:w="2283" w:type="dxa"/>
            <w:noWrap w:val="0"/>
            <w:vAlign w:val="center"/>
          </w:tcPr>
          <w:p>
            <w:pPr>
              <w:jc w:val="center"/>
              <w:rPr>
                <w:rFonts w:ascii="宋体" w:hAnsi="宋体"/>
                <w:color w:val="auto"/>
                <w:kern w:val="0"/>
                <w:sz w:val="24"/>
                <w:highlight w:val="none"/>
              </w:rPr>
            </w:pPr>
            <w:r>
              <w:rPr>
                <w:rFonts w:hint="eastAsia" w:ascii="宋体" w:hAnsi="宋体"/>
                <w:color w:val="auto"/>
                <w:kern w:val="0"/>
                <w:sz w:val="24"/>
                <w:highlight w:val="none"/>
              </w:rPr>
              <w:t>吴忠市利通区胜利镇朝阳社区</w:t>
            </w:r>
          </w:p>
        </w:tc>
        <w:tc>
          <w:tcPr>
            <w:tcW w:w="946" w:type="dxa"/>
            <w:noWrap w:val="0"/>
            <w:vAlign w:val="center"/>
          </w:tcPr>
          <w:p>
            <w:pPr>
              <w:jc w:val="center"/>
              <w:rPr>
                <w:rFonts w:hint="eastAsia" w:ascii="宋体" w:hAnsi="宋体"/>
                <w:color w:val="auto"/>
                <w:kern w:val="0"/>
                <w:sz w:val="24"/>
                <w:highlight w:val="none"/>
                <w:lang w:val="en-US" w:eastAsia="zh-CN"/>
              </w:rPr>
            </w:pPr>
          </w:p>
        </w:tc>
        <w:tc>
          <w:tcPr>
            <w:tcW w:w="1309" w:type="dxa"/>
            <w:noWrap w:val="0"/>
            <w:vAlign w:val="center"/>
          </w:tcPr>
          <w:p>
            <w:pPr>
              <w:jc w:val="center"/>
              <w:rPr>
                <w:rFonts w:hint="eastAsia" w:ascii="宋体" w:hAnsi="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2230</w:t>
            </w:r>
          </w:p>
        </w:tc>
        <w:tc>
          <w:tcPr>
            <w:tcW w:w="900" w:type="dxa"/>
            <w:noWrap w:val="0"/>
            <w:vAlign w:val="center"/>
          </w:tcPr>
          <w:p>
            <w:pPr>
              <w:jc w:val="center"/>
              <w:rPr>
                <w:rFonts w:hint="eastAsia" w:ascii="宋体" w:hAnsi="宋体" w:eastAsia="宋体"/>
                <w:color w:val="auto"/>
                <w:kern w:val="0"/>
                <w:sz w:val="24"/>
                <w:highlight w:val="none"/>
                <w:lang w:val="en-US" w:eastAsia="zh-CN"/>
              </w:rPr>
            </w:pPr>
          </w:p>
        </w:tc>
        <w:tc>
          <w:tcPr>
            <w:tcW w:w="1034" w:type="dxa"/>
            <w:noWrap w:val="0"/>
            <w:vAlign w:val="center"/>
          </w:tcPr>
          <w:p>
            <w:pPr>
              <w:jc w:val="center"/>
              <w:rPr>
                <w:rFonts w:hint="eastAsia" w:ascii="宋体" w:hAnsi="宋体" w:eastAsia="宋体"/>
                <w:color w:val="auto"/>
                <w:kern w:val="0"/>
                <w:sz w:val="24"/>
                <w:szCs w:val="22"/>
                <w:highlight w:val="none"/>
                <w:lang w:eastAsia="zh-CN"/>
              </w:rPr>
            </w:pPr>
          </w:p>
        </w:tc>
        <w:tc>
          <w:tcPr>
            <w:tcW w:w="1271"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eastAsia="zh-CN"/>
              </w:rPr>
              <w:t>二级</w:t>
            </w:r>
          </w:p>
        </w:tc>
        <w:tc>
          <w:tcPr>
            <w:tcW w:w="2861" w:type="dxa"/>
            <w:noWrap w:val="0"/>
            <w:vAlign w:val="center"/>
          </w:tcPr>
          <w:p>
            <w:pPr>
              <w:jc w:val="left"/>
              <w:rPr>
                <w:rFonts w:hint="eastAsia" w:ascii="宋体" w:hAnsi="宋体"/>
                <w:color w:val="auto"/>
                <w:kern w:val="0"/>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8" w:hRule="atLeast"/>
          <w:jc w:val="center"/>
        </w:trPr>
        <w:tc>
          <w:tcPr>
            <w:tcW w:w="556" w:type="dxa"/>
            <w:noWrap w:val="0"/>
            <w:vAlign w:val="center"/>
          </w:tcPr>
          <w:p>
            <w:pPr>
              <w:jc w:val="center"/>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28</w:t>
            </w:r>
          </w:p>
        </w:tc>
        <w:tc>
          <w:tcPr>
            <w:tcW w:w="1904" w:type="dxa"/>
            <w:noWrap w:val="0"/>
            <w:vAlign w:val="center"/>
          </w:tcPr>
          <w:p>
            <w:pPr>
              <w:jc w:val="center"/>
              <w:rPr>
                <w:rFonts w:hint="eastAsia"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吴忠市新世纪商厦</w:t>
            </w:r>
          </w:p>
        </w:tc>
        <w:tc>
          <w:tcPr>
            <w:tcW w:w="2283" w:type="dxa"/>
            <w:noWrap w:val="0"/>
            <w:vAlign w:val="center"/>
          </w:tcPr>
          <w:p>
            <w:pPr>
              <w:jc w:val="center"/>
              <w:rPr>
                <w:rFonts w:hint="eastAsia" w:ascii="宋体" w:hAnsi="宋体" w:eastAsia="宋体"/>
                <w:color w:val="auto"/>
                <w:kern w:val="0"/>
                <w:sz w:val="24"/>
                <w:highlight w:val="none"/>
                <w:lang w:eastAsia="zh-CN"/>
              </w:rPr>
            </w:pPr>
            <w:r>
              <w:rPr>
                <w:rFonts w:hint="eastAsia" w:ascii="宋体" w:hAnsi="宋体" w:eastAsia="宋体"/>
                <w:color w:val="auto"/>
                <w:kern w:val="0"/>
                <w:sz w:val="24"/>
                <w:highlight w:val="none"/>
                <w:lang w:eastAsia="zh-CN"/>
              </w:rPr>
              <w:t>吴忠市利通区胜利镇朝阳社区</w:t>
            </w:r>
          </w:p>
        </w:tc>
        <w:tc>
          <w:tcPr>
            <w:tcW w:w="946" w:type="dxa"/>
            <w:noWrap w:val="0"/>
            <w:vAlign w:val="center"/>
          </w:tcPr>
          <w:p>
            <w:pPr>
              <w:jc w:val="center"/>
              <w:rPr>
                <w:rFonts w:hint="eastAsia" w:ascii="宋体" w:hAnsi="宋体" w:eastAsia="宋体"/>
                <w:color w:val="auto"/>
                <w:kern w:val="0"/>
                <w:sz w:val="24"/>
                <w:highlight w:val="none"/>
                <w:lang w:val="en-US" w:eastAsia="zh-CN"/>
              </w:rPr>
            </w:pPr>
          </w:p>
        </w:tc>
        <w:tc>
          <w:tcPr>
            <w:tcW w:w="1309" w:type="dxa"/>
            <w:noWrap w:val="0"/>
            <w:vAlign w:val="center"/>
          </w:tcPr>
          <w:p>
            <w:pPr>
              <w:jc w:val="center"/>
              <w:rPr>
                <w:rFonts w:hint="eastAsia" w:ascii="宋体" w:hAnsi="宋体" w:eastAsia="宋体"/>
                <w:color w:val="auto"/>
                <w:kern w:val="0"/>
                <w:sz w:val="24"/>
                <w:highlight w:val="none"/>
                <w:lang w:val="en-US" w:eastAsia="zh-CN"/>
              </w:rPr>
            </w:pPr>
          </w:p>
        </w:tc>
        <w:tc>
          <w:tcPr>
            <w:tcW w:w="1065" w:type="dxa"/>
            <w:noWrap w:val="0"/>
            <w:vAlign w:val="center"/>
          </w:tcPr>
          <w:p>
            <w:pPr>
              <w:jc w:val="center"/>
              <w:rPr>
                <w:rFonts w:hint="eastAsia" w:ascii="宋体" w:hAnsi="宋体" w:eastAsia="宋体"/>
                <w:color w:val="auto"/>
                <w:kern w:val="0"/>
                <w:sz w:val="24"/>
                <w:highlight w:val="none"/>
                <w:lang w:val="en-US" w:eastAsia="zh-CN"/>
              </w:rPr>
            </w:pPr>
            <w:r>
              <w:rPr>
                <w:rFonts w:hint="eastAsia" w:ascii="宋体" w:hAnsi="宋体" w:eastAsia="宋体"/>
                <w:color w:val="auto"/>
                <w:kern w:val="0"/>
                <w:sz w:val="24"/>
                <w:highlight w:val="none"/>
                <w:lang w:val="en-US" w:eastAsia="zh-CN"/>
              </w:rPr>
              <w:t>1430</w:t>
            </w:r>
          </w:p>
        </w:tc>
        <w:tc>
          <w:tcPr>
            <w:tcW w:w="900" w:type="dxa"/>
            <w:noWrap w:val="0"/>
            <w:vAlign w:val="center"/>
          </w:tcPr>
          <w:p>
            <w:pPr>
              <w:jc w:val="center"/>
              <w:rPr>
                <w:rFonts w:hint="eastAsia" w:ascii="宋体" w:hAnsi="宋体" w:eastAsia="宋体"/>
                <w:color w:val="auto"/>
                <w:kern w:val="0"/>
                <w:sz w:val="24"/>
                <w:highlight w:val="none"/>
                <w:lang w:val="en-US" w:eastAsia="zh-CN"/>
              </w:rPr>
            </w:pPr>
          </w:p>
        </w:tc>
        <w:tc>
          <w:tcPr>
            <w:tcW w:w="1034" w:type="dxa"/>
            <w:noWrap w:val="0"/>
            <w:vAlign w:val="center"/>
          </w:tcPr>
          <w:p>
            <w:pPr>
              <w:jc w:val="center"/>
              <w:rPr>
                <w:rFonts w:hint="eastAsia" w:ascii="宋体" w:hAnsi="宋体"/>
                <w:color w:val="auto"/>
                <w:kern w:val="0"/>
                <w:sz w:val="24"/>
                <w:szCs w:val="22"/>
                <w:highlight w:val="none"/>
                <w:lang w:eastAsia="zh-CN"/>
              </w:rPr>
            </w:pPr>
          </w:p>
        </w:tc>
        <w:tc>
          <w:tcPr>
            <w:tcW w:w="1271" w:type="dxa"/>
            <w:noWrap w:val="0"/>
            <w:vAlign w:val="center"/>
          </w:tcPr>
          <w:p>
            <w:pPr>
              <w:jc w:val="center"/>
              <w:rPr>
                <w:rFonts w:hint="eastAsia" w:ascii="宋体" w:hAnsi="宋体"/>
                <w:color w:val="auto"/>
                <w:kern w:val="0"/>
                <w:sz w:val="24"/>
                <w:highlight w:val="none"/>
                <w:lang w:val="en-US" w:eastAsia="zh-CN"/>
              </w:rPr>
            </w:pPr>
            <w:r>
              <w:rPr>
                <w:rFonts w:hint="eastAsia" w:ascii="宋体" w:hAnsi="宋体" w:eastAsia="宋体"/>
                <w:color w:val="auto"/>
                <w:kern w:val="0"/>
                <w:sz w:val="24"/>
                <w:highlight w:val="none"/>
                <w:lang w:eastAsia="zh-CN"/>
              </w:rPr>
              <w:t>二级</w:t>
            </w:r>
          </w:p>
        </w:tc>
        <w:tc>
          <w:tcPr>
            <w:tcW w:w="2861" w:type="dxa"/>
            <w:noWrap w:val="0"/>
            <w:vAlign w:val="center"/>
          </w:tcPr>
          <w:p>
            <w:pPr>
              <w:jc w:val="left"/>
              <w:rPr>
                <w:rFonts w:hint="eastAsia" w:ascii="宋体" w:hAnsi="宋体"/>
                <w:color w:val="auto"/>
                <w:kern w:val="0"/>
                <w:sz w:val="24"/>
                <w:szCs w:val="22"/>
                <w:highlight w:val="none"/>
                <w:lang w:val="en-US" w:eastAsia="zh-CN"/>
              </w:rPr>
            </w:pPr>
          </w:p>
        </w:tc>
      </w:tr>
    </w:tbl>
    <w:p>
      <w:pPr>
        <w:pStyle w:val="8"/>
        <w:keepNext w:val="0"/>
        <w:keepLines w:val="0"/>
        <w:widowControl/>
        <w:suppressLineNumbers w:val="0"/>
        <w:jc w:val="left"/>
        <w:rPr>
          <w:rFonts w:hint="eastAsia" w:ascii="仿宋" w:hAnsi="仿宋" w:eastAsia="仿宋" w:cs="仿宋"/>
          <w:b w:val="0"/>
          <w:bCs w:val="0"/>
          <w:color w:val="000000"/>
          <w:sz w:val="32"/>
          <w:szCs w:val="32"/>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仿宋简体">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jc w:val="left"/>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9636125</wp:posOffset>
              </wp:positionV>
              <wp:extent cx="165735" cy="13906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65735" cy="139065"/>
                      </a:xfrm>
                      <a:prstGeom prst="rect">
                        <a:avLst/>
                      </a:prstGeom>
                      <a:noFill/>
                      <a:ln w="9525">
                        <a:noFill/>
                      </a:ln>
                    </wps:spPr>
                    <wps:txbx>
                      <w:txbxContent>
                        <w:p>
                          <w:pPr>
                            <w:spacing w:before="0" w:after="0" w:line="204" w:lineRule="exact"/>
                            <w:ind w:left="40" w:right="-20"/>
                            <w:jc w:val="left"/>
                            <w:rPr>
                              <w:rFonts w:ascii="Times New Roman" w:hAnsi="Times New Roman" w:eastAsia="Times New Roman" w:cs="Times New Roman"/>
                              <w:sz w:val="18"/>
                              <w:szCs w:val="18"/>
                            </w:rPr>
                          </w:pPr>
                          <w:r>
                            <w:fldChar w:fldCharType="begin"/>
                          </w:r>
                          <w:r>
                            <w:rPr>
                              <w:rFonts w:ascii="Times New Roman" w:hAnsi="Times New Roman" w:eastAsia="Times New Roman" w:cs="Times New Roman"/>
                              <w:spacing w:val="0"/>
                              <w:w w:val="100"/>
                              <w:sz w:val="18"/>
                              <w:szCs w:val="18"/>
                            </w:rPr>
                            <w:instrText xml:space="preserve"> PAGE </w:instrText>
                          </w:r>
                          <w:r>
                            <w:fldChar w:fldCharType="separate"/>
                          </w:r>
                          <w:r>
                            <w:t>10</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1pt;margin-top:758.75pt;height:10.95pt;width:13.05pt;mso-position-horizontal-relative:page;mso-position-vertical-relative:page;z-index:-251657216;mso-width-relative:page;mso-height-relative:page;" filled="f" stroked="f" coordsize="21600,21600" o:gfxdata="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EXPZ8tsAAAANAQAADwAAAAAAAAABACAAAAA4AAAAZHJzL2Rvd25yZXYu&#10;eG1sUEsBAhQAFAAAAAgAh07iQH3qPaKpAQAAMgMAAA4AAAAAAAAAAQAgAAAAQAEAAGRycy9lMm9E&#10;b2MueG1sUEsFBgAAAAAGAAYAWQEAAFsFAAAAAA==&#10;">
              <v:fill on="f" focussize="0,0"/>
              <v:stroke on="f"/>
              <v:imagedata o:title=""/>
              <o:lock v:ext="edit" aspectratio="f"/>
              <v:textbox inset="0mm,0mm,0mm,0mm">
                <w:txbxContent>
                  <w:p>
                    <w:pPr>
                      <w:spacing w:before="0" w:after="0" w:line="204" w:lineRule="exact"/>
                      <w:ind w:left="40" w:right="-20"/>
                      <w:jc w:val="left"/>
                      <w:rPr>
                        <w:rFonts w:ascii="Times New Roman" w:hAnsi="Times New Roman" w:eastAsia="Times New Roman" w:cs="Times New Roman"/>
                        <w:sz w:val="18"/>
                        <w:szCs w:val="18"/>
                      </w:rPr>
                    </w:pPr>
                    <w:r>
                      <w:fldChar w:fldCharType="begin"/>
                    </w:r>
                    <w:r>
                      <w:rPr>
                        <w:rFonts w:ascii="Times New Roman" w:hAnsi="Times New Roman" w:eastAsia="Times New Roman" w:cs="Times New Roman"/>
                        <w:spacing w:val="0"/>
                        <w:w w:val="100"/>
                        <w:sz w:val="18"/>
                        <w:szCs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jc w:val="left"/>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9636125</wp:posOffset>
              </wp:positionV>
              <wp:extent cx="165735" cy="13906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65735" cy="139065"/>
                      </a:xfrm>
                      <a:prstGeom prst="rect">
                        <a:avLst/>
                      </a:prstGeom>
                      <a:noFill/>
                      <a:ln w="9525">
                        <a:noFill/>
                      </a:ln>
                    </wps:spPr>
                    <wps:txbx>
                      <w:txbxContent>
                        <w:p>
                          <w:pPr>
                            <w:spacing w:before="0" w:after="0" w:line="204" w:lineRule="exact"/>
                            <w:ind w:left="40" w:right="-20"/>
                            <w:jc w:val="left"/>
                            <w:rPr>
                              <w:rFonts w:ascii="Times New Roman" w:hAnsi="Times New Roman" w:eastAsia="Times New Roman" w:cs="Times New Roman"/>
                              <w:sz w:val="18"/>
                              <w:szCs w:val="18"/>
                            </w:rPr>
                          </w:pPr>
                          <w:r>
                            <w:fldChar w:fldCharType="begin"/>
                          </w:r>
                          <w:r>
                            <w:rPr>
                              <w:rFonts w:ascii="Times New Roman" w:hAnsi="Times New Roman" w:eastAsia="Times New Roman" w:cs="Times New Roman"/>
                              <w:spacing w:val="0"/>
                              <w:w w:val="100"/>
                              <w:sz w:val="18"/>
                              <w:szCs w:val="18"/>
                            </w:rPr>
                            <w:instrText xml:space="preserve"> PAGE </w:instrText>
                          </w:r>
                          <w:r>
                            <w:fldChar w:fldCharType="separate"/>
                          </w:r>
                          <w:r>
                            <w:t>20</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1pt;margin-top:758.75pt;height:10.95pt;width:13.05pt;mso-position-horizontal-relative:page;mso-position-vertical-relative:page;z-index:-251657216;mso-width-relative:page;mso-height-relative:page;" filled="f" stroked="f" coordsize="21600,21600" o:gfxdata="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Rc9ny2wAAAA0BAAAPAAAAAAAAAAEAIAAAADgAAABkcnMvZG93bnJldi54&#10;bWxQSwECFAAUAAAACACHTuJA9P8YpKgBAAAyAwAADgAAAAAAAAABACAAAABAAQAAZHJzL2Uyb0Rv&#10;Yy54bWxQSwUGAAAAAAYABgBZAQAAWgUAAAAA&#10;">
              <v:fill on="f" focussize="0,0"/>
              <v:stroke on="f"/>
              <v:imagedata o:title=""/>
              <o:lock v:ext="edit" aspectratio="f"/>
              <v:textbox inset="0mm,0mm,0mm,0mm">
                <w:txbxContent>
                  <w:p>
                    <w:pPr>
                      <w:spacing w:before="0" w:after="0" w:line="204" w:lineRule="exact"/>
                      <w:ind w:left="40" w:right="-20"/>
                      <w:jc w:val="left"/>
                      <w:rPr>
                        <w:rFonts w:ascii="Times New Roman" w:hAnsi="Times New Roman" w:eastAsia="Times New Roman" w:cs="Times New Roman"/>
                        <w:sz w:val="18"/>
                        <w:szCs w:val="18"/>
                      </w:rPr>
                    </w:pPr>
                    <w:r>
                      <w:fldChar w:fldCharType="begin"/>
                    </w:r>
                    <w:r>
                      <w:rPr>
                        <w:rFonts w:ascii="Times New Roman" w:hAnsi="Times New Roman" w:eastAsia="Times New Roman" w:cs="Times New Roman"/>
                        <w:spacing w:val="0"/>
                        <w:w w:val="100"/>
                        <w:sz w:val="18"/>
                        <w:szCs w:val="18"/>
                      </w:rPr>
                      <w:instrText xml:space="preserve"> PAGE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Mzg2NTExZGVjNzhlODQxYmNkNDE3ZTRlMzk2NzgifQ=="/>
  </w:docVars>
  <w:rsids>
    <w:rsidRoot w:val="00172A27"/>
    <w:rsid w:val="08287351"/>
    <w:rsid w:val="099B2686"/>
    <w:rsid w:val="0BF831FF"/>
    <w:rsid w:val="16416395"/>
    <w:rsid w:val="190C5BDB"/>
    <w:rsid w:val="1D783335"/>
    <w:rsid w:val="1DB46EA5"/>
    <w:rsid w:val="21C24F18"/>
    <w:rsid w:val="29EB5F9E"/>
    <w:rsid w:val="2C362776"/>
    <w:rsid w:val="306C103C"/>
    <w:rsid w:val="31444413"/>
    <w:rsid w:val="35D10D1C"/>
    <w:rsid w:val="36CE76E9"/>
    <w:rsid w:val="39B2114B"/>
    <w:rsid w:val="3CE239DE"/>
    <w:rsid w:val="3F0860A5"/>
    <w:rsid w:val="40CD2CE5"/>
    <w:rsid w:val="43BA2CD9"/>
    <w:rsid w:val="47C76353"/>
    <w:rsid w:val="4C2F609D"/>
    <w:rsid w:val="4D585D9C"/>
    <w:rsid w:val="4FDC16D9"/>
    <w:rsid w:val="52377821"/>
    <w:rsid w:val="5478206F"/>
    <w:rsid w:val="598B4B94"/>
    <w:rsid w:val="5A8858C3"/>
    <w:rsid w:val="5E2E25FD"/>
    <w:rsid w:val="63D379B6"/>
    <w:rsid w:val="64FC2DE9"/>
    <w:rsid w:val="65A52FB4"/>
    <w:rsid w:val="696464C4"/>
    <w:rsid w:val="6BE26EC9"/>
    <w:rsid w:val="710579E8"/>
    <w:rsid w:val="71B21397"/>
    <w:rsid w:val="73635D5D"/>
    <w:rsid w:val="73AC6876"/>
    <w:rsid w:val="78EF729F"/>
    <w:rsid w:val="BA6EE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Lines="0" w:after="100" w:afterLines="0" w:line="580" w:lineRule="exact"/>
      <w:outlineLvl w:val="0"/>
    </w:pPr>
    <w:rPr>
      <w:rFonts w:eastAsia="黑体"/>
      <w:kern w:val="44"/>
      <w:sz w:val="3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Body Text Indent 3"/>
    <w:basedOn w:val="1"/>
    <w:qFormat/>
    <w:uiPriority w:val="0"/>
    <w:pPr>
      <w:spacing w:after="120" w:afterLines="0" w:afterAutospacing="0"/>
      <w:ind w:left="420" w:leftChars="200"/>
    </w:pPr>
    <w:rPr>
      <w:sz w:val="16"/>
    </w:rPr>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rPr>
      <w:sz w:val="24"/>
    </w:rPr>
  </w:style>
  <w:style w:type="character" w:styleId="12">
    <w:name w:val="Strong"/>
    <w:basedOn w:val="11"/>
    <w:qFormat/>
    <w:uiPriority w:val="0"/>
    <w:rPr>
      <w:b/>
    </w:rPr>
  </w:style>
  <w:style w:type="paragraph" w:customStyle="1" w:styleId="13">
    <w:name w:val="p0"/>
    <w:basedOn w:val="1"/>
    <w:qFormat/>
    <w:uiPriority w:val="0"/>
    <w:rPr>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12115</Words>
  <Characters>12524</Characters>
  <Lines>0</Lines>
  <Paragraphs>0</Paragraphs>
  <TotalTime>1</TotalTime>
  <ScaleCrop>false</ScaleCrop>
  <LinksUpToDate>false</LinksUpToDate>
  <CharactersWithSpaces>18215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2021-02-01T11:31:00Z</dcterms:created>
  <dc:creator>Admin</dc:creator>
  <cp:lastModifiedBy>wzs</cp:lastModifiedBy>
  <cp:lastPrinted>2021-02-02T12:13:00Z</cp:lastPrinted>
  <dcterms:modified xsi:type="dcterms:W3CDTF">2022-12-01T08:34:31Z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E401FC404B6448BAB875EACCD10AFC50</vt:lpwstr>
  </property>
</Properties>
</file>